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0288"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8"/>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2025级本科层次职业教育</w:t>
      </w: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lang w:val="en-US" w:eastAsia="zh-CN"/>
        </w:rPr>
        <w:t>机械电子工程技术</w:t>
      </w:r>
      <w:r>
        <w:rPr>
          <w:rFonts w:hint="eastAsia" w:ascii="方正小标宋简体" w:hAnsi="方正小标宋简体" w:eastAsia="方正小标宋简体" w:cs="方正小标宋简体"/>
          <w:b/>
          <w:bCs/>
          <w:sz w:val="52"/>
          <w:szCs w:val="52"/>
        </w:rPr>
        <w:t>专业</w:t>
      </w:r>
      <w:bookmarkStart w:id="0" w:name="_Toc25217"/>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rPr>
          <w:rFonts w:hint="eastAsia" w:ascii="仿宋" w:hAnsi="仿宋" w:eastAsia="仿宋" w:cs="仿宋"/>
        </w:rPr>
      </w:pPr>
      <w:r>
        <w:rPr>
          <w:rFonts w:hint="eastAsia" w:ascii="仿宋" w:hAnsi="仿宋" w:eastAsia="仿宋" w:cs="仿宋"/>
        </w:rPr>
        <w:t xml:space="preserve"> </w:t>
      </w:r>
    </w:p>
    <w:p>
      <w:pPr>
        <w:ind w:firstLine="560"/>
        <w:jc w:val="left"/>
        <w:rPr>
          <w:rFonts w:hint="eastAsia" w:ascii="仿宋" w:hAnsi="仿宋" w:eastAsia="仿宋" w:cs="仿宋"/>
          <w:sz w:val="28"/>
          <w:szCs w:val="28"/>
        </w:rPr>
      </w:pPr>
    </w:p>
    <w:p>
      <w:pPr>
        <w:ind w:firstLine="562"/>
        <w:rPr>
          <w:rFonts w:hint="eastAsia" w:ascii="仿宋" w:hAnsi="仿宋" w:eastAsia="仿宋" w:cs="仿宋"/>
          <w:b/>
          <w:bCs/>
          <w:sz w:val="28"/>
          <w:szCs w:val="28"/>
        </w:rPr>
      </w:pPr>
    </w:p>
    <w:p>
      <w:pPr>
        <w:pStyle w:val="2"/>
        <w:rPr>
          <w:rFonts w:hint="eastAsia" w:ascii="仿宋" w:hAnsi="仿宋" w:eastAsia="仿宋" w:cs="仿宋"/>
          <w:b/>
          <w:bCs/>
          <w:sz w:val="28"/>
          <w:szCs w:val="28"/>
        </w:rPr>
      </w:pPr>
    </w:p>
    <w:p>
      <w:pPr>
        <w:rPr>
          <w:rFonts w:hint="eastAsia" w:ascii="仿宋" w:hAnsi="仿宋" w:eastAsia="仿宋" w:cs="仿宋"/>
          <w:b/>
          <w:bCs/>
          <w:sz w:val="28"/>
          <w:szCs w:val="28"/>
        </w:rPr>
      </w:pPr>
    </w:p>
    <w:p>
      <w:pPr>
        <w:pStyle w:val="2"/>
        <w:rPr>
          <w:rFonts w:hint="eastAsia" w:ascii="仿宋" w:hAnsi="仿宋" w:eastAsia="仿宋" w:cs="仿宋"/>
          <w:b/>
          <w:bCs/>
          <w:sz w:val="28"/>
          <w:szCs w:val="28"/>
        </w:rPr>
      </w:pPr>
    </w:p>
    <w:p>
      <w:pPr>
        <w:rPr>
          <w:rFonts w:hint="eastAsia" w:ascii="仿宋" w:hAnsi="仿宋" w:eastAsia="仿宋" w:cs="仿宋"/>
          <w:b/>
          <w:bCs/>
          <w:sz w:val="28"/>
          <w:szCs w:val="28"/>
        </w:rPr>
      </w:pPr>
    </w:p>
    <w:p>
      <w:pPr>
        <w:pStyle w:val="2"/>
        <w:rPr>
          <w:rFonts w:hint="eastAsia"/>
        </w:rPr>
      </w:pPr>
    </w:p>
    <w:p>
      <w:pPr>
        <w:pStyle w:val="2"/>
        <w:rPr>
          <w:rFonts w:hint="eastAsia" w:ascii="仿宋" w:hAnsi="仿宋" w:eastAsia="仿宋" w:cs="仿宋"/>
          <w:b/>
          <w:bCs/>
          <w:sz w:val="28"/>
          <w:szCs w:val="28"/>
        </w:rPr>
      </w:pPr>
    </w:p>
    <w:p>
      <w:pPr>
        <w:rPr>
          <w:rFonts w:hint="eastAsia"/>
        </w:rPr>
      </w:pPr>
    </w:p>
    <w:p>
      <w:pPr>
        <w:rPr>
          <w:rFonts w:hint="eastAsia"/>
        </w:rPr>
      </w:pPr>
    </w:p>
    <w:p>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pPr>
        <w:pStyle w:val="3"/>
        <w:spacing w:before="40" w:after="40" w:line="360" w:lineRule="auto"/>
        <w:ind w:firstLine="602" w:firstLineChars="200"/>
        <w:rPr>
          <w:rFonts w:hint="eastAsia" w:ascii="黑体" w:hAnsi="黑体" w:eastAsia="黑体" w:cs="黑体"/>
          <w:sz w:val="30"/>
          <w:szCs w:val="30"/>
        </w:rPr>
        <w:sectPr>
          <w:pgSz w:w="11906" w:h="16838"/>
          <w:pgMar w:top="1440" w:right="1800" w:bottom="1440" w:left="1800" w:header="851" w:footer="992" w:gutter="0"/>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2"/>
            <w:tabs>
              <w:tab w:val="right" w:leader="dot" w:pos="8306"/>
            </w:tabs>
          </w:pP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"_Toc2443" </w:instrText>
          </w:r>
          <w:r>
            <w:fldChar w:fldCharType="separate"/>
          </w:r>
          <w:r>
            <w:rPr>
              <w:rFonts w:hint="eastAsia" w:ascii="宋体" w:hAnsi="宋体" w:eastAsia="宋体" w:cs="宋体"/>
              <w:b/>
              <w:bCs/>
              <w:sz w:val="24"/>
              <w:szCs w:val="36"/>
            </w:rPr>
            <w:t>一、专业名称及代码</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_Toc2443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"_Toc28249" </w:instrText>
          </w:r>
          <w:r>
            <w:fldChar w:fldCharType="separate"/>
          </w:r>
          <w:r>
            <w:rPr>
              <w:rFonts w:hint="eastAsia" w:ascii="宋体" w:hAnsi="宋体" w:eastAsia="宋体" w:cs="宋体"/>
              <w:b/>
              <w:bCs/>
              <w:sz w:val="24"/>
              <w:szCs w:val="36"/>
            </w:rPr>
            <w:t>二、入学要求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_Toc28249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"_Toc6831" </w:instrText>
          </w:r>
          <w:r>
            <w:fldChar w:fldCharType="separate"/>
          </w:r>
          <w:r>
            <w:rPr>
              <w:rFonts w:hint="eastAsia" w:ascii="宋体" w:hAnsi="宋体" w:eastAsia="宋体" w:cs="宋体"/>
              <w:b/>
              <w:bCs/>
              <w:sz w:val="24"/>
              <w:szCs w:val="36"/>
            </w:rPr>
            <w:t>三、修业年限</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_Toc6831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"_Toc20765" </w:instrText>
          </w:r>
          <w:r>
            <w:fldChar w:fldCharType="separate"/>
          </w:r>
          <w:r>
            <w:rPr>
              <w:rFonts w:hint="eastAsia" w:ascii="宋体" w:hAnsi="宋体" w:eastAsia="宋体" w:cs="宋体"/>
              <w:b/>
              <w:bCs/>
              <w:sz w:val="24"/>
              <w:szCs w:val="36"/>
            </w:rPr>
            <w:t>四、职业面向</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_Toc20765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"_Toc22636" </w:instrText>
          </w:r>
          <w:r>
            <w:fldChar w:fldCharType="separate"/>
          </w:r>
          <w:r>
            <w:rPr>
              <w:rFonts w:hint="eastAsia" w:ascii="宋体" w:hAnsi="宋体" w:eastAsia="宋体" w:cs="宋体"/>
              <w:b/>
              <w:bCs/>
              <w:sz w:val="24"/>
              <w:szCs w:val="36"/>
            </w:rPr>
            <w:t>五、培养目标与培养规格</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_Toc22636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"_Toc27622" </w:instrText>
          </w:r>
          <w:r>
            <w:fldChar w:fldCharType="separate"/>
          </w:r>
          <w:r>
            <w:rPr>
              <w:rFonts w:hint="eastAsia" w:ascii="宋体" w:hAnsi="宋体" w:eastAsia="宋体" w:cs="宋体"/>
              <w:sz w:val="24"/>
              <w:szCs w:val="44"/>
            </w:rPr>
            <w:t>（一）培养目标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_Toc27622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"_Toc31159" </w:instrText>
          </w:r>
          <w:r>
            <w:fldChar w:fldCharType="separate"/>
          </w:r>
          <w:r>
            <w:rPr>
              <w:rFonts w:hint="eastAsia" w:ascii="宋体" w:hAnsi="宋体" w:eastAsia="宋体" w:cs="宋体"/>
              <w:sz w:val="24"/>
              <w:szCs w:val="44"/>
            </w:rPr>
            <w:t>（二）培养规格</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_Toc31159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"_Toc27196" </w:instrText>
          </w:r>
          <w:r>
            <w:fldChar w:fldCharType="separate"/>
          </w:r>
          <w:r>
            <w:rPr>
              <w:rFonts w:hint="eastAsia" w:ascii="宋体" w:hAnsi="宋体" w:eastAsia="宋体" w:cs="宋体"/>
              <w:b/>
              <w:bCs/>
              <w:sz w:val="24"/>
              <w:szCs w:val="36"/>
            </w:rPr>
            <w:t>六、课程设置及要求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_Toc27196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"_Toc12977" </w:instrText>
          </w:r>
          <w:r>
            <w:fldChar w:fldCharType="separate"/>
          </w:r>
          <w:r>
            <w:rPr>
              <w:rFonts w:hint="eastAsia" w:ascii="宋体" w:hAnsi="宋体" w:eastAsia="宋体" w:cs="宋体"/>
              <w:sz w:val="24"/>
              <w:szCs w:val="44"/>
            </w:rPr>
            <w:t>（一）课程体系</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_Toc12977 \h </w:instrText>
          </w:r>
          <w:r>
            <w:rPr>
              <w:rFonts w:hint="eastAsia" w:ascii="宋体" w:hAnsi="宋体" w:eastAsia="宋体" w:cs="宋体"/>
              <w:sz w:val="24"/>
              <w:szCs w:val="32"/>
            </w:rPr>
            <w:fldChar w:fldCharType="separate"/>
          </w:r>
          <w:r>
            <w:rPr>
              <w:rFonts w:hint="eastAsia" w:ascii="宋体" w:hAnsi="宋体" w:eastAsia="宋体" w:cs="宋体"/>
              <w:sz w:val="24"/>
              <w:szCs w:val="32"/>
            </w:rPr>
            <w:t>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"_Toc4982" </w:instrText>
          </w:r>
          <w:r>
            <w:fldChar w:fldCharType="separate"/>
          </w:r>
          <w:r>
            <w:rPr>
              <w:rFonts w:hint="eastAsia" w:ascii="宋体" w:hAnsi="宋体" w:eastAsia="宋体" w:cs="宋体"/>
              <w:sz w:val="24"/>
              <w:szCs w:val="44"/>
            </w:rPr>
            <w:t>（二）课程设置</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_Toc4982 \h </w:instrText>
          </w:r>
          <w:r>
            <w:rPr>
              <w:rFonts w:hint="eastAsia" w:ascii="宋体" w:hAnsi="宋体" w:eastAsia="宋体" w:cs="宋体"/>
              <w:sz w:val="24"/>
              <w:szCs w:val="32"/>
            </w:rPr>
            <w:fldChar w:fldCharType="separate"/>
          </w:r>
          <w:r>
            <w:rPr>
              <w:rFonts w:hint="eastAsia" w:ascii="宋体" w:hAnsi="宋体" w:eastAsia="宋体" w:cs="宋体"/>
              <w:sz w:val="24"/>
              <w:szCs w:val="32"/>
            </w:rPr>
            <w:t>7</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"_Toc27181" </w:instrText>
          </w:r>
          <w:r>
            <w:fldChar w:fldCharType="separate"/>
          </w:r>
          <w:r>
            <w:rPr>
              <w:rFonts w:hint="eastAsia" w:ascii="宋体" w:hAnsi="宋体" w:eastAsia="宋体" w:cs="宋体"/>
              <w:b/>
              <w:bCs/>
              <w:sz w:val="24"/>
              <w:szCs w:val="36"/>
            </w:rPr>
            <w:t>七、教学进度总体安排</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_Toc27181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"_Toc17573" </w:instrText>
          </w:r>
          <w:r>
            <w:fldChar w:fldCharType="separate"/>
          </w:r>
          <w:r>
            <w:rPr>
              <w:rFonts w:hint="eastAsia" w:ascii="宋体" w:hAnsi="宋体" w:eastAsia="宋体" w:cs="宋体"/>
              <w:sz w:val="24"/>
              <w:szCs w:val="44"/>
            </w:rPr>
            <w:t>（一）教学活动时间分配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_Toc17573 \h </w:instrText>
          </w:r>
          <w:r>
            <w:rPr>
              <w:rFonts w:hint="eastAsia" w:ascii="宋体" w:hAnsi="宋体" w:eastAsia="宋体" w:cs="宋体"/>
              <w:sz w:val="24"/>
              <w:szCs w:val="32"/>
            </w:rPr>
            <w:fldChar w:fldCharType="separate"/>
          </w:r>
          <w:r>
            <w:rPr>
              <w:rFonts w:hint="eastAsia" w:ascii="宋体" w:hAnsi="宋体" w:eastAsia="宋体" w:cs="宋体"/>
              <w:sz w:val="24"/>
              <w:szCs w:val="32"/>
            </w:rPr>
            <w:t>20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"_Toc31832" </w:instrText>
          </w:r>
          <w:r>
            <w:fldChar w:fldCharType="separate"/>
          </w:r>
          <w:r>
            <w:rPr>
              <w:rFonts w:hint="eastAsia" w:ascii="宋体" w:hAnsi="宋体" w:eastAsia="宋体" w:cs="宋体"/>
              <w:sz w:val="24"/>
              <w:szCs w:val="44"/>
            </w:rPr>
            <w:t>（二）课程学分学时比例构成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_Toc31832 \h </w:instrText>
          </w:r>
          <w:r>
            <w:rPr>
              <w:rFonts w:hint="eastAsia" w:ascii="宋体" w:hAnsi="宋体" w:eastAsia="宋体" w:cs="宋体"/>
              <w:sz w:val="24"/>
              <w:szCs w:val="32"/>
            </w:rPr>
            <w:fldChar w:fldCharType="separate"/>
          </w:r>
          <w:r>
            <w:rPr>
              <w:rFonts w:hint="eastAsia" w:ascii="宋体" w:hAnsi="宋体" w:eastAsia="宋体" w:cs="宋体"/>
              <w:sz w:val="24"/>
              <w:szCs w:val="32"/>
            </w:rPr>
            <w:t>20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"_Toc5913" </w:instrText>
          </w:r>
          <w:r>
            <w:fldChar w:fldCharType="separate"/>
          </w:r>
          <w:r>
            <w:rPr>
              <w:rFonts w:hint="eastAsia" w:ascii="宋体" w:hAnsi="宋体" w:eastAsia="宋体" w:cs="宋体"/>
              <w:sz w:val="24"/>
              <w:szCs w:val="44"/>
            </w:rPr>
            <w:t>（三）第一课堂进程安排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_Toc5913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"_Toc31667" </w:instrText>
          </w:r>
          <w:r>
            <w:fldChar w:fldCharType="separate"/>
          </w:r>
          <w:r>
            <w:rPr>
              <w:rFonts w:hint="eastAsia" w:ascii="宋体" w:hAnsi="宋体" w:eastAsia="宋体" w:cs="宋体"/>
              <w:sz w:val="24"/>
              <w:szCs w:val="44"/>
            </w:rPr>
            <w:t>（四）第二课堂活动安排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_Toc31667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"_Toc27067" </w:instrText>
          </w:r>
          <w:r>
            <w:fldChar w:fldCharType="separate"/>
          </w:r>
          <w:r>
            <w:rPr>
              <w:rFonts w:hint="eastAsia" w:ascii="宋体" w:hAnsi="宋体" w:eastAsia="宋体" w:cs="宋体"/>
              <w:b/>
              <w:bCs/>
              <w:sz w:val="24"/>
              <w:szCs w:val="36"/>
            </w:rPr>
            <w:t>八、实施保障</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_Toc27067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25</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"_Toc28671" </w:instrText>
          </w:r>
          <w:r>
            <w:fldChar w:fldCharType="separate"/>
          </w:r>
          <w:r>
            <w:rPr>
              <w:rFonts w:hint="eastAsia" w:ascii="宋体" w:hAnsi="宋体" w:eastAsia="宋体" w:cs="宋体"/>
              <w:sz w:val="24"/>
              <w:szCs w:val="44"/>
            </w:rPr>
            <w:t>（一）实训基地配备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_Toc28671 \h </w:instrText>
          </w:r>
          <w:r>
            <w:rPr>
              <w:rFonts w:hint="eastAsia" w:ascii="宋体" w:hAnsi="宋体" w:eastAsia="宋体" w:cs="宋体"/>
              <w:sz w:val="24"/>
              <w:szCs w:val="32"/>
            </w:rPr>
            <w:fldChar w:fldCharType="separate"/>
          </w:r>
          <w:r>
            <w:rPr>
              <w:rFonts w:hint="eastAsia" w:ascii="宋体" w:hAnsi="宋体" w:eastAsia="宋体" w:cs="宋体"/>
              <w:sz w:val="24"/>
              <w:szCs w:val="32"/>
            </w:rPr>
            <w:t>25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"_Toc3807" </w:instrText>
          </w:r>
          <w:r>
            <w:fldChar w:fldCharType="separate"/>
          </w:r>
          <w:r>
            <w:rPr>
              <w:rFonts w:hint="eastAsia" w:ascii="宋体" w:hAnsi="宋体" w:eastAsia="宋体" w:cs="宋体"/>
              <w:sz w:val="24"/>
              <w:szCs w:val="44"/>
            </w:rPr>
            <w:t>（二）结构化教学团队</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_Toc3807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"_Toc27116" </w:instrText>
          </w:r>
          <w:r>
            <w:fldChar w:fldCharType="separate"/>
          </w:r>
          <w:r>
            <w:rPr>
              <w:rFonts w:hint="eastAsia" w:ascii="宋体" w:hAnsi="宋体" w:eastAsia="宋体" w:cs="宋体"/>
              <w:sz w:val="24"/>
              <w:szCs w:val="44"/>
            </w:rPr>
            <w:t>（三）教学资源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_Toc27116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"_Toc2987" </w:instrText>
          </w:r>
          <w:r>
            <w:fldChar w:fldCharType="separate"/>
          </w:r>
          <w:r>
            <w:rPr>
              <w:rFonts w:hint="eastAsia" w:ascii="宋体" w:hAnsi="宋体" w:eastAsia="宋体" w:cs="宋体"/>
              <w:sz w:val="24"/>
              <w:szCs w:val="44"/>
            </w:rPr>
            <w:t>（四）教学方法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_Toc2987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"_Toc16360" </w:instrText>
          </w:r>
          <w:r>
            <w:fldChar w:fldCharType="separate"/>
          </w:r>
          <w:r>
            <w:rPr>
              <w:rFonts w:hint="eastAsia" w:ascii="宋体" w:hAnsi="宋体" w:eastAsia="宋体" w:cs="宋体"/>
              <w:sz w:val="24"/>
              <w:szCs w:val="44"/>
            </w:rPr>
            <w:t>（五）学习评价</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_Toc16360 \h </w:instrText>
          </w:r>
          <w:r>
            <w:rPr>
              <w:rFonts w:hint="eastAsia" w:ascii="宋体" w:hAnsi="宋体" w:eastAsia="宋体" w:cs="宋体"/>
              <w:sz w:val="24"/>
              <w:szCs w:val="32"/>
            </w:rPr>
            <w:fldChar w:fldCharType="separate"/>
          </w:r>
          <w:r>
            <w:rPr>
              <w:rFonts w:hint="eastAsia" w:ascii="宋体" w:hAnsi="宋体" w:eastAsia="宋体" w:cs="宋体"/>
              <w:sz w:val="24"/>
              <w:szCs w:val="32"/>
            </w:rPr>
            <w:t>29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"_Toc47" </w:instrText>
          </w:r>
          <w:r>
            <w:fldChar w:fldCharType="separate"/>
          </w:r>
          <w:r>
            <w:rPr>
              <w:rFonts w:hint="eastAsia" w:ascii="宋体" w:hAnsi="宋体" w:eastAsia="宋体" w:cs="宋体"/>
              <w:sz w:val="24"/>
              <w:szCs w:val="44"/>
            </w:rPr>
            <w:t>（六）质量保障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_Toc47 \h </w:instrText>
          </w:r>
          <w:r>
            <w:rPr>
              <w:rFonts w:hint="eastAsia" w:ascii="宋体" w:hAnsi="宋体" w:eastAsia="宋体" w:cs="宋体"/>
              <w:sz w:val="24"/>
              <w:szCs w:val="32"/>
            </w:rPr>
            <w:fldChar w:fldCharType="separate"/>
          </w:r>
          <w:r>
            <w:rPr>
              <w:rFonts w:hint="eastAsia" w:ascii="宋体" w:hAnsi="宋体" w:eastAsia="宋体" w:cs="宋体"/>
              <w:sz w:val="24"/>
              <w:szCs w:val="32"/>
            </w:rPr>
            <w:t>29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"_Toc27668" </w:instrText>
          </w:r>
          <w:r>
            <w:fldChar w:fldCharType="separate"/>
          </w:r>
          <w:r>
            <w:rPr>
              <w:rFonts w:hint="eastAsia" w:ascii="宋体" w:hAnsi="宋体" w:eastAsia="宋体" w:cs="宋体"/>
              <w:b/>
              <w:bCs/>
              <w:sz w:val="24"/>
              <w:szCs w:val="36"/>
            </w:rPr>
            <w:t>九、毕业要求及学位授予</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_Toc27668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"_Toc5931" </w:instrText>
          </w:r>
          <w:r>
            <w:fldChar w:fldCharType="separate"/>
          </w:r>
          <w:r>
            <w:rPr>
              <w:rFonts w:hint="eastAsia" w:ascii="宋体" w:hAnsi="宋体" w:eastAsia="宋体" w:cs="宋体"/>
              <w:sz w:val="24"/>
              <w:szCs w:val="44"/>
            </w:rPr>
            <w:t>（一）毕业要求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_Toc5931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"_Toc10945" </w:instrText>
          </w:r>
          <w:r>
            <w:fldChar w:fldCharType="separate"/>
          </w:r>
          <w:r>
            <w:rPr>
              <w:rFonts w:hint="eastAsia" w:ascii="宋体" w:hAnsi="宋体" w:eastAsia="宋体" w:cs="宋体"/>
              <w:sz w:val="24"/>
              <w:szCs w:val="44"/>
            </w:rPr>
            <w:t>（二）学位授予</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_Toc10945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"_Toc19930" </w:instrText>
          </w:r>
          <w:r>
            <w:fldChar w:fldCharType="separate"/>
          </w:r>
          <w:r>
            <w:rPr>
              <w:rFonts w:hint="eastAsia" w:ascii="宋体" w:hAnsi="宋体" w:eastAsia="宋体" w:cs="宋体"/>
              <w:b/>
              <w:bCs/>
              <w:sz w:val="24"/>
              <w:szCs w:val="36"/>
            </w:rPr>
            <w:t>十、附录</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_Toc19930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"_Toc13743" </w:instrText>
          </w:r>
          <w:r>
            <w:fldChar w:fldCharType="separate"/>
          </w:r>
          <w:r>
            <w:rPr>
              <w:rFonts w:hint="eastAsia" w:ascii="宋体" w:hAnsi="宋体" w:eastAsia="宋体" w:cs="宋体"/>
              <w:sz w:val="24"/>
              <w:szCs w:val="44"/>
            </w:rPr>
            <w:t>（一）第一课堂进程安排表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_Toc13743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"_Toc2755" </w:instrText>
          </w:r>
          <w:r>
            <w:fldChar w:fldCharType="separate"/>
          </w:r>
          <w:r>
            <w:rPr>
              <w:rFonts w:hint="eastAsia" w:ascii="宋体" w:hAnsi="宋体" w:eastAsia="宋体" w:cs="宋体"/>
              <w:sz w:val="24"/>
              <w:szCs w:val="44"/>
            </w:rPr>
            <w:t>（二）第二课堂活动安排表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_Toc2755 \h </w:instrText>
          </w:r>
          <w:r>
            <w:rPr>
              <w:rFonts w:hint="eastAsia" w:ascii="宋体" w:hAnsi="宋体" w:eastAsia="宋体" w:cs="宋体"/>
              <w:sz w:val="24"/>
              <w:szCs w:val="32"/>
            </w:rPr>
            <w:fldChar w:fldCharType="separate"/>
          </w:r>
          <w:r>
            <w:rPr>
              <w:rFonts w:hint="eastAsia" w:ascii="宋体" w:hAnsi="宋体" w:eastAsia="宋体" w:cs="宋体"/>
              <w:sz w:val="24"/>
              <w:szCs w:val="32"/>
            </w:rPr>
            <w:t>37</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"_Toc9726" </w:instrText>
          </w:r>
          <w:r>
            <w:fldChar w:fldCharType="separate"/>
          </w:r>
          <w:r>
            <w:rPr>
              <w:rFonts w:hint="eastAsia" w:ascii="宋体" w:hAnsi="宋体" w:eastAsia="宋体" w:cs="宋体"/>
              <w:sz w:val="24"/>
              <w:szCs w:val="44"/>
            </w:rPr>
            <w:t>（三）专业人才培养方案制定的说明</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_Toc9726 \h </w:instrText>
          </w:r>
          <w:r>
            <w:rPr>
              <w:rFonts w:hint="eastAsia" w:ascii="宋体" w:hAnsi="宋体" w:eastAsia="宋体" w:cs="宋体"/>
              <w:sz w:val="24"/>
              <w:szCs w:val="32"/>
            </w:rPr>
            <w:fldChar w:fldCharType="separate"/>
          </w:r>
          <w:r>
            <w:rPr>
              <w:rFonts w:hint="eastAsia" w:ascii="宋体" w:hAnsi="宋体" w:eastAsia="宋体" w:cs="宋体"/>
              <w:sz w:val="24"/>
              <w:szCs w:val="32"/>
            </w:rPr>
            <w:t>41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sz w:val="22"/>
              <w:szCs w:val="28"/>
            </w:rPr>
          </w:pPr>
          <w:r>
            <w:fldChar w:fldCharType="begin"/>
          </w:r>
          <w:r>
            <w:instrText xml:space="preserve"> HYPERLINK \l "_Toc1106" </w:instrText>
          </w:r>
          <w:r>
            <w:fldChar w:fldCharType="separate"/>
          </w:r>
          <w:r>
            <w:rPr>
              <w:rFonts w:hint="eastAsia" w:ascii="宋体" w:hAnsi="宋体" w:eastAsia="宋体" w:cs="宋体"/>
              <w:sz w:val="24"/>
              <w:szCs w:val="44"/>
            </w:rPr>
            <w:t>（四）专业对应的职业/岗位分析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_Toc1106 \h </w:instrText>
          </w:r>
          <w:r>
            <w:rPr>
              <w:rFonts w:hint="eastAsia" w:ascii="宋体" w:hAnsi="宋体" w:eastAsia="宋体" w:cs="宋体"/>
              <w:sz w:val="24"/>
              <w:szCs w:val="32"/>
            </w:rPr>
            <w:fldChar w:fldCharType="separate"/>
          </w:r>
          <w:r>
            <w:rPr>
              <w:rFonts w:hint="eastAsia" w:ascii="宋体" w:hAnsi="宋体" w:eastAsia="宋体" w:cs="宋体"/>
              <w:sz w:val="24"/>
              <w:szCs w:val="32"/>
            </w:rPr>
            <w:t>41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3"/>
            <w:spacing w:before="40" w:after="40" w:line="380" w:lineRule="exact"/>
            <w:rPr>
              <w:rFonts w:hint="eastAsia" w:ascii="黑体" w:hAnsi="黑体" w:eastAsia="黑体" w:cs="黑体"/>
              <w:sz w:val="30"/>
              <w:szCs w:val="30"/>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sdtContent>
    </w:sdt>
    <w:p>
      <w:pPr>
        <w:pStyle w:val="3"/>
        <w:spacing w:before="40" w:after="40" w:line="360" w:lineRule="auto"/>
        <w:ind w:firstLine="602" w:firstLineChars="200"/>
        <w:rPr>
          <w:rFonts w:hint="eastAsia" w:ascii="黑体" w:hAnsi="黑体" w:eastAsia="黑体" w:cs="黑体"/>
          <w:sz w:val="30"/>
          <w:szCs w:val="30"/>
        </w:rPr>
      </w:pPr>
      <w:bookmarkStart w:id="1" w:name="_Toc2443"/>
      <w:r>
        <w:rPr>
          <w:rFonts w:hint="eastAsia" w:ascii="黑体" w:hAnsi="黑体" w:eastAsia="黑体" w:cs="黑体"/>
          <w:sz w:val="30"/>
          <w:szCs w:val="30"/>
        </w:rPr>
        <w:t>一、专业名称及代码</w:t>
      </w:r>
      <w:bookmarkEnd w:id="1"/>
    </w:p>
    <w:p>
      <w:pPr>
        <w:adjustRightInd w:val="0"/>
        <w:snapToGrid w:val="0"/>
        <w:spacing w:line="360" w:lineRule="auto"/>
        <w:ind w:firstLine="560" w:firstLineChars="200"/>
        <w:rPr>
          <w:rFonts w:hint="default" w:ascii="仿宋" w:hAnsi="仿宋" w:eastAsia="仿宋" w:cs="仿宋"/>
          <w:sz w:val="28"/>
          <w:szCs w:val="28"/>
          <w:lang w:val="en-US" w:eastAsia="zh-CN"/>
        </w:rPr>
      </w:pPr>
      <w:bookmarkStart w:id="2" w:name="_Toc28249"/>
      <w:r>
        <w:rPr>
          <w:rFonts w:hint="eastAsia" w:ascii="仿宋" w:hAnsi="仿宋" w:eastAsia="仿宋" w:cs="仿宋"/>
          <w:sz w:val="28"/>
          <w:szCs w:val="28"/>
        </w:rPr>
        <w:t>专业名称：</w:t>
      </w:r>
      <w:r>
        <w:rPr>
          <w:rFonts w:hint="eastAsia" w:ascii="仿宋" w:hAnsi="仿宋" w:eastAsia="仿宋" w:cs="仿宋"/>
          <w:sz w:val="28"/>
          <w:szCs w:val="28"/>
          <w:lang w:eastAsia="zh-CN"/>
        </w:rPr>
        <w:t>机械电子工程</w:t>
      </w:r>
      <w:r>
        <w:rPr>
          <w:rFonts w:hint="eastAsia" w:ascii="仿宋" w:hAnsi="仿宋" w:eastAsia="仿宋" w:cs="仿宋"/>
          <w:sz w:val="28"/>
          <w:szCs w:val="28"/>
          <w:lang w:val="en-US" w:eastAsia="zh-CN"/>
        </w:rPr>
        <w:t>技术</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专业代码：</w:t>
      </w:r>
      <w:r>
        <w:rPr>
          <w:rFonts w:hint="eastAsia" w:ascii="仿宋" w:hAnsi="仿宋" w:eastAsia="仿宋" w:cs="仿宋"/>
          <w:sz w:val="28"/>
          <w:szCs w:val="28"/>
          <w:lang w:val="en-US" w:eastAsia="zh-CN"/>
        </w:rPr>
        <w:t>260301</w:t>
      </w:r>
    </w:p>
    <w:p>
      <w:pPr>
        <w:pStyle w:val="3"/>
        <w:spacing w:before="40" w:after="40" w:line="360" w:lineRule="auto"/>
        <w:ind w:firstLine="602" w:firstLineChars="200"/>
        <w:rPr>
          <w:rFonts w:hint="eastAsia" w:ascii="黑体" w:hAnsi="黑体" w:eastAsia="黑体" w:cs="黑体"/>
          <w:sz w:val="30"/>
          <w:szCs w:val="30"/>
        </w:rPr>
      </w:pPr>
      <w:r>
        <w:rPr>
          <w:rFonts w:hint="eastAsia" w:ascii="黑体" w:hAnsi="黑体" w:eastAsia="黑体" w:cs="黑体"/>
          <w:sz w:val="30"/>
          <w:szCs w:val="30"/>
        </w:rPr>
        <w:t>二、入学要求</w:t>
      </w:r>
      <w:bookmarkEnd w:id="2"/>
    </w:p>
    <w:p>
      <w:pPr>
        <w:adjustRightInd w:val="0"/>
        <w:snapToGrid w:val="0"/>
        <w:spacing w:line="360" w:lineRule="auto"/>
        <w:rPr>
          <w:rFonts w:hint="eastAsia"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3"/>
        <w:spacing w:before="40" w:after="40" w:line="360" w:lineRule="auto"/>
        <w:ind w:firstLine="602" w:firstLineChars="200"/>
        <w:rPr>
          <w:rFonts w:hint="eastAsia" w:ascii="黑体" w:hAnsi="黑体" w:eastAsia="黑体" w:cs="黑体"/>
          <w:sz w:val="30"/>
          <w:szCs w:val="30"/>
        </w:rPr>
      </w:pPr>
      <w:bookmarkStart w:id="3" w:name="_Toc6831"/>
      <w:r>
        <w:rPr>
          <w:rFonts w:hint="eastAsia" w:ascii="黑体" w:hAnsi="黑体" w:eastAsia="黑体" w:cs="黑体"/>
          <w:sz w:val="30"/>
          <w:szCs w:val="30"/>
        </w:rPr>
        <w:t>三、修业年限</w:t>
      </w:r>
      <w:bookmarkEnd w:id="3"/>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3"/>
        <w:spacing w:before="40" w:after="40" w:line="360" w:lineRule="auto"/>
        <w:ind w:firstLine="602" w:firstLineChars="200"/>
        <w:rPr>
          <w:rFonts w:hint="eastAsia" w:ascii="黑体" w:hAnsi="黑体" w:eastAsia="黑体" w:cs="黑体"/>
          <w:sz w:val="30"/>
          <w:szCs w:val="30"/>
        </w:rPr>
      </w:pPr>
      <w:bookmarkStart w:id="4" w:name="_Toc20765"/>
      <w:r>
        <w:rPr>
          <w:rFonts w:hint="eastAsia" w:ascii="黑体" w:hAnsi="黑体" w:eastAsia="黑体" w:cs="黑体"/>
          <w:sz w:val="30"/>
          <w:szCs w:val="30"/>
        </w:rPr>
        <w:t>四、职业面向</w:t>
      </w:r>
      <w:bookmarkEnd w:id="4"/>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967"/>
        <w:gridCol w:w="1462"/>
        <w:gridCol w:w="1521"/>
        <w:gridCol w:w="1765"/>
        <w:gridCol w:w="1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1086"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业大类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967"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462"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对应行业</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521"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主要职业类别</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765"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主要岗位群或技术领域举例</w:t>
            </w:r>
          </w:p>
        </w:tc>
        <w:tc>
          <w:tcPr>
            <w:tcW w:w="1715"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vAlign w:val="center"/>
          </w:tcPr>
          <w:p>
            <w:pPr>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仿宋" w:hAnsi="仿宋" w:eastAsia="仿宋" w:cs="仿宋"/>
              </w:rPr>
            </w:pPr>
            <w:r>
              <w:rPr>
                <w:rFonts w:hint="eastAsia" w:ascii="仿宋" w:hAnsi="仿宋" w:eastAsia="仿宋" w:cs="仿宋"/>
              </w:rPr>
              <w:t>装备制造大类</w:t>
            </w:r>
          </w:p>
          <w:p>
            <w:pPr>
              <w:keepNext w:val="0"/>
              <w:keepLines w:val="0"/>
              <w:pageBreakBefore w:val="0"/>
              <w:widowControl w:val="0"/>
              <w:kinsoku/>
              <w:wordWrap w:val="0"/>
              <w:overflowPunct/>
              <w:topLinePunct w:val="0"/>
              <w:autoSpaceDE/>
              <w:autoSpaceDN/>
              <w:bidi w:val="0"/>
              <w:adjustRightInd/>
              <w:snapToGrid/>
              <w:spacing w:line="240" w:lineRule="auto"/>
              <w:jc w:val="center"/>
              <w:textAlignment w:val="auto"/>
            </w:pPr>
            <w:r>
              <w:rPr>
                <w:rFonts w:hint="eastAsia" w:ascii="仿宋" w:hAnsi="仿宋" w:eastAsia="仿宋" w:cs="仿宋"/>
                <w:lang w:eastAsia="zh-CN"/>
              </w:rPr>
              <w:t>（</w:t>
            </w:r>
            <w:r>
              <w:rPr>
                <w:rFonts w:hint="eastAsia" w:ascii="仿宋" w:hAnsi="仿宋" w:eastAsia="仿宋" w:cs="仿宋"/>
                <w:lang w:val="en-US" w:eastAsia="zh-CN"/>
              </w:rPr>
              <w:t>26</w:t>
            </w:r>
            <w:r>
              <w:rPr>
                <w:rFonts w:hint="eastAsia" w:ascii="仿宋" w:hAnsi="仿宋" w:eastAsia="仿宋" w:cs="仿宋"/>
                <w:lang w:eastAsia="zh-CN"/>
              </w:rPr>
              <w:t>）</w:t>
            </w:r>
          </w:p>
        </w:tc>
        <w:tc>
          <w:tcPr>
            <w:tcW w:w="967" w:type="dxa"/>
            <w:vAlign w:val="center"/>
          </w:tcPr>
          <w:p>
            <w:pPr>
              <w:keepNext w:val="0"/>
              <w:keepLines w:val="0"/>
              <w:pageBreakBefore w:val="0"/>
              <w:widowControl w:val="0"/>
              <w:kinsoku/>
              <w:wordWrap w:val="0"/>
              <w:overflowPunct/>
              <w:topLinePunct w:val="0"/>
              <w:autoSpaceDE/>
              <w:autoSpaceDN/>
              <w:bidi w:val="0"/>
              <w:adjustRightInd/>
              <w:snapToGrid/>
              <w:spacing w:line="240" w:lineRule="auto"/>
              <w:jc w:val="center"/>
              <w:textAlignment w:val="auto"/>
              <w:rPr>
                <w:rFonts w:hint="eastAsia" w:ascii="仿宋" w:hAnsi="仿宋" w:eastAsia="仿宋" w:cs="仿宋"/>
              </w:rPr>
            </w:pPr>
            <w:r>
              <w:rPr>
                <w:rFonts w:hint="eastAsia" w:ascii="仿宋" w:hAnsi="仿宋" w:eastAsia="仿宋" w:cs="仿宋"/>
              </w:rPr>
              <w:t>自动化类</w:t>
            </w:r>
          </w:p>
          <w:p>
            <w:pPr>
              <w:keepNext w:val="0"/>
              <w:keepLines w:val="0"/>
              <w:pageBreakBefore w:val="0"/>
              <w:widowControl w:val="0"/>
              <w:kinsoku/>
              <w:wordWrap w:val="0"/>
              <w:overflowPunct/>
              <w:topLinePunct w:val="0"/>
              <w:autoSpaceDE/>
              <w:autoSpaceDN/>
              <w:bidi w:val="0"/>
              <w:adjustRightInd/>
              <w:snapToGrid/>
              <w:spacing w:line="240" w:lineRule="auto"/>
              <w:jc w:val="center"/>
              <w:textAlignment w:val="auto"/>
            </w:pPr>
            <w:r>
              <w:rPr>
                <w:rFonts w:hint="eastAsia" w:ascii="仿宋" w:hAnsi="仿宋" w:eastAsia="仿宋" w:cs="仿宋"/>
              </w:rPr>
              <w:t>(</w:t>
            </w:r>
            <w:r>
              <w:rPr>
                <w:rFonts w:hint="eastAsia" w:ascii="仿宋" w:hAnsi="仿宋" w:eastAsia="仿宋" w:cs="仿宋"/>
                <w:lang w:val="en-US" w:eastAsia="zh-CN"/>
              </w:rPr>
              <w:t>2</w:t>
            </w:r>
            <w:r>
              <w:rPr>
                <w:rFonts w:hint="eastAsia" w:ascii="仿宋" w:hAnsi="仿宋" w:eastAsia="仿宋" w:cs="仿宋"/>
              </w:rPr>
              <w:t>603)</w:t>
            </w:r>
          </w:p>
        </w:tc>
        <w:tc>
          <w:tcPr>
            <w:tcW w:w="1462" w:type="dxa"/>
            <w:vAlign w:val="center"/>
          </w:tcPr>
          <w:p>
            <w:pPr>
              <w:keepNext w:val="0"/>
              <w:keepLines w:val="0"/>
              <w:pageBreakBefore w:val="0"/>
              <w:widowControl w:val="0"/>
              <w:kinsoku/>
              <w:wordWrap w:val="0"/>
              <w:overflowPunct/>
              <w:topLinePunct w:val="0"/>
              <w:autoSpaceDE/>
              <w:autoSpaceDN/>
              <w:bidi w:val="0"/>
              <w:adjustRightInd/>
              <w:snapToGrid/>
              <w:spacing w:line="240" w:lineRule="auto"/>
              <w:jc w:val="both"/>
              <w:textAlignment w:val="auto"/>
              <w:rPr>
                <w:rFonts w:hint="eastAsia" w:ascii="仿宋" w:hAnsi="仿宋" w:eastAsia="仿宋" w:cs="仿宋"/>
              </w:rPr>
            </w:pPr>
            <w:r>
              <w:rPr>
                <w:rFonts w:hint="eastAsia" w:ascii="仿宋" w:hAnsi="仿宋" w:eastAsia="仿宋" w:cs="仿宋"/>
              </w:rPr>
              <w:t>通用设备制造业(34);</w:t>
            </w:r>
          </w:p>
          <w:p>
            <w:pPr>
              <w:keepNext w:val="0"/>
              <w:keepLines w:val="0"/>
              <w:pageBreakBefore w:val="0"/>
              <w:widowControl w:val="0"/>
              <w:kinsoku/>
              <w:wordWrap w:val="0"/>
              <w:overflowPunct/>
              <w:topLinePunct w:val="0"/>
              <w:autoSpaceDE/>
              <w:autoSpaceDN/>
              <w:bidi w:val="0"/>
              <w:adjustRightInd/>
              <w:snapToGrid/>
              <w:spacing w:line="240" w:lineRule="auto"/>
              <w:jc w:val="both"/>
              <w:textAlignment w:val="auto"/>
            </w:pPr>
            <w:r>
              <w:rPr>
                <w:rFonts w:hint="eastAsia" w:ascii="仿宋" w:hAnsi="仿宋" w:eastAsia="仿宋" w:cs="仿宋"/>
              </w:rPr>
              <w:t>金属制品、机械和设备修理业(43)</w:t>
            </w:r>
          </w:p>
        </w:tc>
        <w:tc>
          <w:tcPr>
            <w:tcW w:w="1521" w:type="dxa"/>
            <w:vAlign w:val="center"/>
          </w:tcPr>
          <w:p>
            <w:pPr>
              <w:keepNext w:val="0"/>
              <w:keepLines w:val="0"/>
              <w:pageBreakBefore w:val="0"/>
              <w:widowControl/>
              <w:suppressLineNumbers w:val="0"/>
              <w:kinsoku/>
              <w:wordWrap w:val="0"/>
              <w:overflowPunct/>
              <w:topLinePunct w:val="0"/>
              <w:autoSpaceDE/>
              <w:autoSpaceDN/>
              <w:bidi w:val="0"/>
              <w:adjustRightInd/>
              <w:snapToGrid/>
              <w:spacing w:line="240" w:lineRule="auto"/>
              <w:jc w:val="both"/>
              <w:textAlignment w:val="auto"/>
              <w:rPr>
                <w:rFonts w:hint="eastAsia" w:ascii="仿宋" w:hAnsi="仿宋" w:eastAsia="仿宋" w:cs="仿宋"/>
                <w:color w:val="000000"/>
                <w:kern w:val="0"/>
                <w:sz w:val="21"/>
                <w:szCs w:val="21"/>
                <w:lang w:val="en-US" w:eastAsia="zh-CN" w:bidi="ar"/>
              </w:rPr>
            </w:pPr>
            <w:r>
              <w:rPr>
                <w:rFonts w:hint="eastAsia" w:ascii="仿宋" w:hAnsi="仿宋" w:eastAsia="仿宋" w:cs="仿宋"/>
              </w:rPr>
              <w:t>设备工程技术人员(2-02-07-04);</w:t>
            </w:r>
          </w:p>
          <w:p>
            <w:pPr>
              <w:keepNext w:val="0"/>
              <w:keepLines w:val="0"/>
              <w:pageBreakBefore w:val="0"/>
              <w:widowControl/>
              <w:suppressLineNumbers w:val="0"/>
              <w:kinsoku/>
              <w:wordWrap w:val="0"/>
              <w:overflowPunct/>
              <w:topLinePunct w:val="0"/>
              <w:autoSpaceDE/>
              <w:autoSpaceDN/>
              <w:bidi w:val="0"/>
              <w:adjustRightInd/>
              <w:snapToGrid/>
              <w:spacing w:line="240" w:lineRule="auto"/>
              <w:jc w:val="both"/>
              <w:textAlignment w:val="auto"/>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机械设计工程技术人员（2-02-07-01）；</w:t>
            </w:r>
          </w:p>
          <w:p>
            <w:pPr>
              <w:keepNext w:val="0"/>
              <w:keepLines w:val="0"/>
              <w:pageBreakBefore w:val="0"/>
              <w:widowControl/>
              <w:suppressLineNumbers w:val="0"/>
              <w:kinsoku/>
              <w:wordWrap w:val="0"/>
              <w:overflowPunct/>
              <w:topLinePunct w:val="0"/>
              <w:autoSpaceDE/>
              <w:autoSpaceDN/>
              <w:bidi w:val="0"/>
              <w:adjustRightInd/>
              <w:snapToGrid/>
              <w:spacing w:line="240" w:lineRule="auto"/>
              <w:jc w:val="both"/>
              <w:textAlignment w:val="auto"/>
            </w:pPr>
            <w:r>
              <w:rPr>
                <w:rFonts w:hint="eastAsia" w:ascii="仿宋" w:hAnsi="仿宋" w:eastAsia="仿宋" w:cs="仿宋"/>
                <w:color w:val="000000"/>
                <w:kern w:val="0"/>
                <w:sz w:val="21"/>
                <w:szCs w:val="21"/>
                <w:lang w:val="en-US" w:eastAsia="zh-CN" w:bidi="ar"/>
              </w:rPr>
              <w:t>智能制造工程技术人员</w:t>
            </w:r>
            <w:r>
              <w:rPr>
                <w:rFonts w:hint="eastAsia" w:ascii="仿宋" w:hAnsi="仿宋" w:eastAsia="仿宋" w:cs="仿宋"/>
                <w:lang w:val="en-US" w:eastAsia="zh-CN"/>
              </w:rPr>
              <w:t>（</w:t>
            </w:r>
            <w:r>
              <w:rPr>
                <w:rFonts w:hint="eastAsia" w:ascii="仿宋" w:hAnsi="仿宋" w:eastAsia="仿宋" w:cs="仿宋"/>
              </w:rPr>
              <w:t>2-02-07-13</w:t>
            </w:r>
            <w:r>
              <w:rPr>
                <w:rFonts w:hint="eastAsia" w:ascii="仿宋" w:hAnsi="仿宋" w:eastAsia="仿宋" w:cs="仿宋"/>
                <w:lang w:val="en-US" w:eastAsia="zh-CN"/>
              </w:rPr>
              <w:t>）</w:t>
            </w:r>
          </w:p>
        </w:tc>
        <w:tc>
          <w:tcPr>
            <w:tcW w:w="1765" w:type="dxa"/>
            <w:vAlign w:val="center"/>
          </w:tcPr>
          <w:p>
            <w:pPr>
              <w:keepNext w:val="0"/>
              <w:keepLines w:val="0"/>
              <w:pageBreakBefore w:val="0"/>
              <w:widowControl w:val="0"/>
              <w:kinsoku/>
              <w:wordWrap w:val="0"/>
              <w:overflowPunct/>
              <w:topLinePunct w:val="0"/>
              <w:autoSpaceDE/>
              <w:autoSpaceDN/>
              <w:bidi w:val="0"/>
              <w:adjustRightInd/>
              <w:snapToGrid/>
              <w:spacing w:line="240" w:lineRule="auto"/>
              <w:jc w:val="both"/>
              <w:textAlignment w:val="auto"/>
              <w:rPr>
                <w:rFonts w:hint="eastAsia" w:ascii="仿宋" w:hAnsi="仿宋" w:eastAsia="仿宋" w:cs="仿宋"/>
                <w:lang w:val="en-US" w:eastAsia="zh-CN"/>
              </w:rPr>
            </w:pPr>
            <w:r>
              <w:rPr>
                <w:rFonts w:hint="eastAsia" w:ascii="仿宋" w:hAnsi="仿宋" w:eastAsia="仿宋" w:cs="仿宋"/>
                <w:lang w:val="en-US" w:eastAsia="zh-CN"/>
              </w:rPr>
              <w:t>机电设备研发、智能制造系统集成与调试、产线运维与升级改造、机电设备售后等岗位（群）</w:t>
            </w:r>
          </w:p>
        </w:tc>
        <w:tc>
          <w:tcPr>
            <w:tcW w:w="1715" w:type="dxa"/>
            <w:vAlign w:val="center"/>
          </w:tcPr>
          <w:p>
            <w:pPr>
              <w:keepNext w:val="0"/>
              <w:keepLines w:val="0"/>
              <w:pageBreakBefore w:val="0"/>
              <w:widowControl w:val="0"/>
              <w:kinsoku/>
              <w:wordWrap w:val="0"/>
              <w:overflowPunct/>
              <w:topLinePunct w:val="0"/>
              <w:autoSpaceDE/>
              <w:autoSpaceDN/>
              <w:bidi w:val="0"/>
              <w:adjustRightInd/>
              <w:snapToGrid/>
              <w:spacing w:line="240" w:lineRule="auto"/>
              <w:jc w:val="both"/>
              <w:textAlignment w:val="auto"/>
              <w:rPr>
                <w:rFonts w:hint="eastAsia" w:ascii="仿宋" w:hAnsi="仿宋" w:eastAsia="仿宋" w:cs="仿宋"/>
                <w:lang w:val="en-US" w:eastAsia="zh-CN"/>
              </w:rPr>
            </w:pPr>
            <w:r>
              <w:rPr>
                <w:rFonts w:hint="eastAsia" w:ascii="仿宋" w:hAnsi="仿宋" w:eastAsia="仿宋" w:cs="仿宋"/>
                <w:lang w:val="en-US" w:eastAsia="zh-CN"/>
              </w:rPr>
              <w:t>工业机器人应用编程1+X证（高级）、低压电工作业上岗证、电工（中级）、电工（高级）。</w:t>
            </w:r>
          </w:p>
        </w:tc>
      </w:tr>
    </w:tbl>
    <w:p>
      <w:pPr>
        <w:pStyle w:val="2"/>
      </w:pPr>
    </w:p>
    <w:p>
      <w:pPr>
        <w:pStyle w:val="3"/>
        <w:spacing w:before="40" w:after="40" w:line="360" w:lineRule="auto"/>
        <w:ind w:firstLine="602" w:firstLineChars="200"/>
        <w:rPr>
          <w:rFonts w:hint="eastAsia" w:ascii="黑体" w:hAnsi="黑体" w:eastAsia="黑体" w:cs="黑体"/>
          <w:sz w:val="30"/>
          <w:szCs w:val="30"/>
        </w:rPr>
      </w:pPr>
      <w:bookmarkStart w:id="5" w:name="_Toc22636"/>
      <w:r>
        <w:rPr>
          <w:rFonts w:hint="eastAsia" w:ascii="黑体" w:hAnsi="黑体" w:eastAsia="黑体" w:cs="黑体"/>
          <w:sz w:val="30"/>
          <w:szCs w:val="30"/>
        </w:rPr>
        <w:t>五、培养目标与培养规格</w:t>
      </w:r>
      <w:bookmarkEnd w:id="5"/>
    </w:p>
    <w:p>
      <w:pPr>
        <w:pStyle w:val="2"/>
        <w:ind w:firstLine="562" w:firstLineChars="200"/>
        <w:rPr>
          <w:rFonts w:hint="eastAsia" w:ascii="仿宋_GB2312" w:hAnsi="仿宋_GB2312" w:eastAsia="仿宋_GB2312" w:cs="仿宋_GB2312"/>
          <w:sz w:val="28"/>
          <w:szCs w:val="36"/>
        </w:rPr>
      </w:pPr>
      <w:bookmarkStart w:id="6" w:name="_Toc27622"/>
      <w:r>
        <w:rPr>
          <w:rFonts w:hint="eastAsia" w:ascii="仿宋_GB2312" w:hAnsi="仿宋_GB2312" w:eastAsia="仿宋_GB2312" w:cs="仿宋_GB2312"/>
          <w:sz w:val="28"/>
          <w:szCs w:val="36"/>
        </w:rPr>
        <w:t>（一）培养目标</w:t>
      </w:r>
      <w:bookmarkEnd w:id="6"/>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本专业紧密对接汽车、机械、电子智造等区域支柱产业发展及转型升级需求，聚焦高端装备研发、智能生产线集成、工业机器人应用等领域，坚持“校企双元、协同共育”理念。培养德智体美劳全面发展，具有崇高的理想信念、良好职业道德、国际视野和精益求精的工匠精神，掌握较为系统的机械电子工程技术专业基础理论知识，具备较强的创新创业能力和国际化素养的“德技兼备，情理双修”的高端技能人才。毕业后能够从事机电产品设计、现场设备运行维护与技术创新、预防性维修与管理等较复杂工作，工作3至5年后能够胜任智能装备研发工程师、智能制造系统集成工程师等岗位。</w:t>
      </w:r>
    </w:p>
    <w:p>
      <w:pPr>
        <w:pStyle w:val="2"/>
        <w:ind w:firstLine="562" w:firstLineChars="200"/>
        <w:rPr>
          <w:rFonts w:hint="eastAsia" w:ascii="仿宋_GB2312" w:hAnsi="仿宋_GB2312" w:eastAsia="仿宋_GB2312" w:cs="仿宋_GB2312"/>
          <w:sz w:val="28"/>
          <w:szCs w:val="36"/>
        </w:rPr>
      </w:pPr>
      <w:bookmarkStart w:id="7" w:name="_Toc31159"/>
      <w:r>
        <w:rPr>
          <w:rFonts w:hint="eastAsia" w:ascii="仿宋_GB2312" w:hAnsi="仿宋_GB2312" w:eastAsia="仿宋_GB2312" w:cs="仿宋_GB2312"/>
          <w:sz w:val="28"/>
          <w:szCs w:val="36"/>
        </w:rPr>
        <w:t>（二）培养规格</w:t>
      </w:r>
      <w:bookmarkEnd w:id="7"/>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4"/>
        <w:gridCol w:w="6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04" w:type="dxa"/>
            <w:vAlign w:val="center"/>
          </w:tcPr>
          <w:p>
            <w:pPr>
              <w:adjustRightInd w:val="0"/>
              <w:snapToGrid w:val="0"/>
              <w:spacing w:line="360" w:lineRule="auto"/>
              <w:ind w:firstLine="440" w:firstLineChars="200"/>
              <w:rPr>
                <w:rFonts w:hint="eastAsia" w:ascii="仿宋" w:hAnsi="仿宋" w:eastAsia="仿宋" w:cs="仿宋"/>
                <w:sz w:val="22"/>
                <w:szCs w:val="22"/>
              </w:rPr>
            </w:pPr>
            <w:r>
              <w:rPr>
                <w:rFonts w:hint="eastAsia" w:ascii="仿宋" w:hAnsi="仿宋" w:eastAsia="仿宋" w:cs="仿宋"/>
                <w:sz w:val="22"/>
                <w:szCs w:val="22"/>
              </w:rPr>
              <w:t>1.素质</w:t>
            </w:r>
          </w:p>
        </w:tc>
        <w:tc>
          <w:tcPr>
            <w:tcW w:w="6792" w:type="dxa"/>
            <w:vAlign w:val="center"/>
          </w:tcPr>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1.1</w:t>
            </w:r>
            <w:r>
              <w:rPr>
                <w:rFonts w:hint="eastAsia" w:ascii="仿宋" w:hAnsi="仿宋" w:eastAsia="仿宋" w:cs="仿宋"/>
                <w:sz w:val="22"/>
                <w:szCs w:val="22"/>
              </w:rPr>
              <w:t>坚定拥护中国共产党领导和中国特色社会主义制度，以习近平新时代中国特色社会主义思想为指导，践行社会主义核心价值观，具有坚定的理想信念、深厚的爱国情感和中华民族自豪感；</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1.2</w:t>
            </w:r>
            <w:r>
              <w:rPr>
                <w:rFonts w:hint="eastAsia" w:ascii="仿宋" w:hAnsi="仿宋" w:eastAsia="仿宋" w:cs="仿宋"/>
                <w:sz w:val="22"/>
                <w:szCs w:val="22"/>
              </w:rPr>
              <w:t>掌握与本专业对应职业活动相关的国家法律、行业规定，掌握绿色生产、环境保护、安全防护、质量管理等相关知识与技能，具有质量意识、环保意识、安全意识和创新思维；</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1.3</w:t>
            </w:r>
            <w:r>
              <w:rPr>
                <w:rFonts w:hint="eastAsia" w:ascii="仿宋" w:hAnsi="仿宋" w:eastAsia="仿宋" w:cs="仿宋"/>
                <w:sz w:val="22"/>
                <w:szCs w:val="22"/>
              </w:rPr>
              <w:t>了解相关行业文化，具有爱岗敬业的职业精神</w:t>
            </w:r>
            <w:r>
              <w:rPr>
                <w:rFonts w:hint="eastAsia" w:ascii="仿宋" w:hAnsi="仿宋" w:eastAsia="仿宋" w:cs="仿宋"/>
                <w:sz w:val="22"/>
                <w:szCs w:val="22"/>
                <w:lang w:eastAsia="zh-CN"/>
              </w:rPr>
              <w:t>；</w:t>
            </w:r>
            <w:r>
              <w:rPr>
                <w:rFonts w:hint="eastAsia" w:ascii="仿宋" w:hAnsi="仿宋" w:eastAsia="仿宋" w:cs="仿宋"/>
                <w:sz w:val="22"/>
                <w:szCs w:val="22"/>
              </w:rPr>
              <w:t>树立正确的劳动观，尊重劳动，热爱劳动，具备与本专业职业发展相适应的劳动素养，弘扬劳模精神、劳动精神、工匠精神，弘扬劳动光荣、技能宝贵、创造伟大的时代风尚</w:t>
            </w:r>
            <w:r>
              <w:rPr>
                <w:rFonts w:hint="eastAsia" w:ascii="仿宋" w:hAnsi="仿宋" w:eastAsia="仿宋" w:cs="仿宋"/>
                <w:sz w:val="22"/>
                <w:szCs w:val="22"/>
                <w:lang w:eastAsia="zh-CN"/>
              </w:rPr>
              <w:t>；</w:t>
            </w:r>
            <w:r>
              <w:rPr>
                <w:rFonts w:hint="eastAsia" w:ascii="仿宋" w:hAnsi="仿宋" w:eastAsia="仿宋" w:cs="仿宋"/>
                <w:sz w:val="22"/>
                <w:szCs w:val="22"/>
              </w:rPr>
              <w:t>遵守职业道德准则和行为规范，具备社会责任感和担当精神；</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1.4</w:t>
            </w:r>
            <w:r>
              <w:rPr>
                <w:rFonts w:hint="eastAsia" w:ascii="仿宋" w:hAnsi="仿宋" w:eastAsia="仿宋" w:cs="仿宋"/>
                <w:sz w:val="22"/>
                <w:szCs w:val="22"/>
              </w:rPr>
              <w:t>掌握支撑本专业学习和可持续发展必备的语文、数学、外语（英语等）、信息技术等文化基础知识，具有扎实的人文素养与科学素养，具备职业生涯规划能力；</w:t>
            </w:r>
          </w:p>
          <w:p>
            <w:pPr>
              <w:adjustRightInd w:val="0"/>
              <w:snapToGrid w:val="0"/>
              <w:ind w:firstLine="440" w:firstLineChars="200"/>
              <w:jc w:val="left"/>
              <w:rPr>
                <w:rFonts w:hint="eastAsia" w:ascii="仿宋" w:hAnsi="仿宋" w:eastAsia="仿宋" w:cs="仿宋"/>
                <w:sz w:val="22"/>
                <w:szCs w:val="22"/>
                <w:lang w:eastAsia="zh-CN"/>
              </w:rPr>
            </w:pPr>
            <w:r>
              <w:rPr>
                <w:rFonts w:hint="eastAsia" w:ascii="仿宋" w:hAnsi="仿宋" w:eastAsia="仿宋" w:cs="仿宋"/>
                <w:sz w:val="22"/>
                <w:szCs w:val="22"/>
                <w:lang w:val="en-US" w:eastAsia="zh-CN"/>
              </w:rPr>
              <w:t>1.5</w:t>
            </w:r>
            <w:r>
              <w:rPr>
                <w:rFonts w:hint="eastAsia" w:ascii="仿宋" w:hAnsi="仿宋" w:eastAsia="仿宋" w:cs="仿宋"/>
                <w:sz w:val="22"/>
                <w:szCs w:val="22"/>
              </w:rPr>
              <w:t>具有良好的语言表达能力、文字表达能力、沟通合作能力，具有较强的集体意识和团队合作意识，学习 1 门外语并结合本专业加以运用</w:t>
            </w:r>
            <w:r>
              <w:rPr>
                <w:rFonts w:hint="eastAsia" w:ascii="仿宋" w:hAnsi="仿宋" w:eastAsia="仿宋" w:cs="仿宋"/>
                <w:sz w:val="22"/>
                <w:szCs w:val="22"/>
                <w:lang w:eastAsia="zh-CN"/>
              </w:rPr>
              <w:t>，</w:t>
            </w:r>
            <w:r>
              <w:rPr>
                <w:rFonts w:hint="eastAsia" w:ascii="仿宋" w:hAnsi="仿宋" w:eastAsia="仿宋" w:cs="仿宋"/>
                <w:sz w:val="22"/>
                <w:szCs w:val="22"/>
              </w:rPr>
              <w:t>具有一定的国际视野和跨文化交流能力</w:t>
            </w:r>
            <w:r>
              <w:rPr>
                <w:rFonts w:hint="eastAsia" w:ascii="仿宋" w:hAnsi="仿宋" w:eastAsia="仿宋" w:cs="仿宋"/>
                <w:sz w:val="22"/>
                <w:szCs w:val="22"/>
                <w:lang w:eastAsia="zh-CN"/>
              </w:rPr>
              <w:t>；</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1.6</w:t>
            </w:r>
            <w:r>
              <w:rPr>
                <w:rFonts w:hint="eastAsia" w:ascii="仿宋" w:hAnsi="仿宋" w:eastAsia="仿宋" w:cs="仿宋"/>
                <w:sz w:val="22"/>
                <w:szCs w:val="22"/>
              </w:rPr>
              <w:t>掌握身体运动的基本知识和至少 1 项运动技能，达到国家大学生体质健康测试合格标准，养成良好的运动习惯、卫生习惯和行为习惯；具备一定的心理调适能力；</w:t>
            </w:r>
          </w:p>
          <w:p>
            <w:pPr>
              <w:adjustRightInd w:val="0"/>
              <w:snapToGrid w:val="0"/>
              <w:ind w:firstLine="440" w:firstLineChars="200"/>
              <w:jc w:val="left"/>
              <w:rPr>
                <w:rFonts w:hint="eastAsia"/>
                <w:lang w:eastAsia="zh-CN"/>
              </w:rPr>
            </w:pPr>
            <w:r>
              <w:rPr>
                <w:rFonts w:hint="eastAsia" w:ascii="仿宋" w:hAnsi="仿宋" w:eastAsia="仿宋" w:cs="仿宋"/>
                <w:sz w:val="22"/>
                <w:szCs w:val="22"/>
                <w:lang w:val="en-US" w:eastAsia="zh-CN"/>
              </w:rPr>
              <w:t>1.7</w:t>
            </w:r>
            <w:r>
              <w:rPr>
                <w:rFonts w:hint="eastAsia" w:ascii="仿宋" w:hAnsi="仿宋" w:eastAsia="仿宋" w:cs="仿宋"/>
                <w:sz w:val="22"/>
                <w:szCs w:val="22"/>
              </w:rPr>
              <w:t>掌握必备的美育知识，具有一定的文化修养、审美能力，形成至少 1 项艺术特长或爱好；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4" w:type="dxa"/>
            <w:vAlign w:val="center"/>
          </w:tcPr>
          <w:p>
            <w:pPr>
              <w:adjustRightInd w:val="0"/>
              <w:snapToGrid w:val="0"/>
              <w:spacing w:line="360" w:lineRule="auto"/>
              <w:ind w:firstLine="440" w:firstLineChars="200"/>
              <w:rPr>
                <w:rFonts w:hint="eastAsia" w:ascii="仿宋" w:hAnsi="仿宋" w:eastAsia="仿宋" w:cs="仿宋"/>
                <w:sz w:val="22"/>
                <w:szCs w:val="22"/>
              </w:rPr>
            </w:pPr>
            <w:r>
              <w:rPr>
                <w:rFonts w:hint="eastAsia" w:ascii="仿宋" w:hAnsi="仿宋" w:eastAsia="仿宋" w:cs="仿宋"/>
                <w:sz w:val="22"/>
                <w:szCs w:val="22"/>
              </w:rPr>
              <w:t>2.知识</w:t>
            </w:r>
          </w:p>
        </w:tc>
        <w:tc>
          <w:tcPr>
            <w:tcW w:w="6792" w:type="dxa"/>
            <w:vAlign w:val="center"/>
          </w:tcPr>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2.1</w:t>
            </w:r>
            <w:r>
              <w:rPr>
                <w:rFonts w:hint="eastAsia" w:ascii="仿宋" w:hAnsi="仿宋" w:eastAsia="仿宋" w:cs="仿宋"/>
                <w:sz w:val="22"/>
                <w:szCs w:val="22"/>
              </w:rPr>
              <w:t>掌握机械制图、工程力学、电工电子、高级语言、机械设计、PLC编程、自动控制原理、液压与气动等方面的专业基础理论知识；</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2.2掌握</w:t>
            </w:r>
            <w:r>
              <w:rPr>
                <w:rFonts w:hint="eastAsia" w:ascii="仿宋" w:hAnsi="仿宋" w:eastAsia="仿宋" w:cs="仿宋"/>
                <w:sz w:val="22"/>
                <w:szCs w:val="22"/>
              </w:rPr>
              <w:t>典型传感器、视觉检测技术、工业控制网络、运动控制</w:t>
            </w:r>
            <w:r>
              <w:rPr>
                <w:rFonts w:hint="eastAsia" w:ascii="仿宋" w:hAnsi="仿宋" w:eastAsia="仿宋" w:cs="仿宋"/>
                <w:sz w:val="22"/>
                <w:szCs w:val="22"/>
                <w:lang w:eastAsia="zh-CN"/>
              </w:rPr>
              <w:t>、</w:t>
            </w:r>
            <w:r>
              <w:rPr>
                <w:rFonts w:hint="eastAsia" w:ascii="仿宋" w:hAnsi="仿宋" w:eastAsia="仿宋" w:cs="仿宋"/>
                <w:sz w:val="22"/>
                <w:szCs w:val="22"/>
                <w:lang w:val="en-US" w:eastAsia="zh-CN"/>
              </w:rPr>
              <w:t>工业机器人</w:t>
            </w:r>
            <w:r>
              <w:rPr>
                <w:rFonts w:hint="eastAsia" w:ascii="仿宋" w:hAnsi="仿宋" w:eastAsia="仿宋" w:cs="仿宋"/>
                <w:sz w:val="22"/>
                <w:szCs w:val="22"/>
              </w:rPr>
              <w:t>等专业知识；</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2.3</w:t>
            </w:r>
            <w:r>
              <w:rPr>
                <w:rFonts w:hint="eastAsia" w:ascii="仿宋" w:hAnsi="仿宋" w:eastAsia="仿宋" w:cs="仿宋"/>
                <w:sz w:val="22"/>
                <w:szCs w:val="22"/>
              </w:rPr>
              <w:t>掌握机械结构设计、</w:t>
            </w:r>
            <w:r>
              <w:rPr>
                <w:rFonts w:hint="eastAsia" w:ascii="仿宋" w:hAnsi="仿宋" w:eastAsia="仿宋" w:cs="仿宋"/>
                <w:sz w:val="22"/>
                <w:szCs w:val="22"/>
                <w:lang w:val="en-US" w:eastAsia="zh-CN"/>
              </w:rPr>
              <w:t>机电产品设计、</w:t>
            </w:r>
            <w:r>
              <w:rPr>
                <w:rFonts w:hint="eastAsia" w:ascii="仿宋" w:hAnsi="仿宋" w:eastAsia="仿宋" w:cs="仿宋"/>
                <w:sz w:val="22"/>
                <w:szCs w:val="22"/>
              </w:rPr>
              <w:t>电气系统设计、气动系统设计、控制程序设计</w:t>
            </w:r>
            <w:r>
              <w:rPr>
                <w:rFonts w:hint="eastAsia" w:ascii="仿宋" w:hAnsi="仿宋" w:eastAsia="仿宋" w:cs="仿宋"/>
                <w:sz w:val="22"/>
                <w:szCs w:val="22"/>
                <w:lang w:eastAsia="zh-CN"/>
              </w:rPr>
              <w:t>、</w:t>
            </w:r>
            <w:r>
              <w:rPr>
                <w:rFonts w:hint="eastAsia" w:ascii="仿宋" w:hAnsi="仿宋" w:eastAsia="仿宋" w:cs="仿宋"/>
                <w:sz w:val="22"/>
                <w:szCs w:val="22"/>
              </w:rPr>
              <w:t>生产优化等</w:t>
            </w:r>
            <w:r>
              <w:rPr>
                <w:rFonts w:hint="eastAsia" w:ascii="仿宋" w:hAnsi="仿宋" w:eastAsia="仿宋" w:cs="仿宋"/>
                <w:sz w:val="22"/>
                <w:szCs w:val="22"/>
                <w:lang w:val="en-US" w:eastAsia="zh-CN"/>
              </w:rPr>
              <w:t>知识技能；</w:t>
            </w:r>
          </w:p>
          <w:p>
            <w:pPr>
              <w:adjustRightInd w:val="0"/>
              <w:snapToGrid w:val="0"/>
              <w:ind w:firstLine="440" w:firstLineChars="200"/>
              <w:jc w:val="left"/>
              <w:rPr>
                <w:rFonts w:hint="eastAsia" w:ascii="仿宋" w:hAnsi="仿宋" w:eastAsia="仿宋" w:cs="仿宋"/>
                <w:sz w:val="22"/>
                <w:szCs w:val="22"/>
                <w:lang w:eastAsia="zh-CN"/>
              </w:rPr>
            </w:pPr>
            <w:r>
              <w:rPr>
                <w:rFonts w:hint="eastAsia" w:ascii="仿宋" w:hAnsi="仿宋" w:eastAsia="仿宋" w:cs="仿宋"/>
                <w:sz w:val="22"/>
                <w:szCs w:val="22"/>
                <w:lang w:val="en-US" w:eastAsia="zh-CN"/>
              </w:rPr>
              <w:t>2.4</w:t>
            </w:r>
            <w:r>
              <w:rPr>
                <w:rFonts w:hint="eastAsia" w:ascii="仿宋" w:hAnsi="仿宋" w:eastAsia="仿宋" w:cs="仿宋"/>
                <w:sz w:val="22"/>
                <w:szCs w:val="22"/>
              </w:rPr>
              <w:t>掌握机电设备的机械安装调试、电气安装调试、故障分析、维护维修等技术技能</w:t>
            </w:r>
            <w:r>
              <w:rPr>
                <w:rFonts w:hint="eastAsia" w:ascii="仿宋" w:hAnsi="仿宋" w:eastAsia="仿宋" w:cs="仿宋"/>
                <w:sz w:val="22"/>
                <w:szCs w:val="22"/>
                <w:lang w:eastAsia="zh-CN"/>
              </w:rPr>
              <w:t>；</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2.5</w:t>
            </w:r>
            <w:r>
              <w:rPr>
                <w:rFonts w:hint="eastAsia" w:ascii="仿宋" w:hAnsi="仿宋" w:eastAsia="仿宋" w:cs="仿宋"/>
                <w:sz w:val="22"/>
                <w:szCs w:val="22"/>
              </w:rPr>
              <w:t>掌握信息技术基础知识，具有适应本领域数字化和智能化发展需求的数字技能；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4" w:type="dxa"/>
            <w:vAlign w:val="center"/>
          </w:tcPr>
          <w:p>
            <w:pPr>
              <w:adjustRightInd w:val="0"/>
              <w:snapToGrid w:val="0"/>
              <w:spacing w:line="360" w:lineRule="auto"/>
              <w:ind w:firstLine="440" w:firstLineChars="200"/>
              <w:rPr>
                <w:rFonts w:hint="eastAsia" w:ascii="仿宋" w:hAnsi="仿宋" w:eastAsia="仿宋" w:cs="仿宋"/>
                <w:sz w:val="22"/>
                <w:szCs w:val="22"/>
              </w:rPr>
            </w:pPr>
            <w:r>
              <w:rPr>
                <w:rFonts w:hint="eastAsia" w:ascii="仿宋" w:hAnsi="仿宋" w:eastAsia="仿宋" w:cs="仿宋"/>
                <w:sz w:val="22"/>
                <w:szCs w:val="22"/>
              </w:rPr>
              <w:t>3.能力</w:t>
            </w:r>
          </w:p>
        </w:tc>
        <w:tc>
          <w:tcPr>
            <w:tcW w:w="6792" w:type="dxa"/>
            <w:vAlign w:val="center"/>
          </w:tcPr>
          <w:p>
            <w:pPr>
              <w:adjustRightInd w:val="0"/>
              <w:snapToGrid w:val="0"/>
              <w:ind w:firstLine="440" w:firstLineChars="200"/>
              <w:jc w:val="left"/>
              <w:rPr>
                <w:rFonts w:hint="eastAsia" w:ascii="仿宋" w:hAnsi="仿宋" w:eastAsia="仿宋" w:cs="仿宋"/>
                <w:sz w:val="22"/>
                <w:szCs w:val="22"/>
                <w:lang w:eastAsia="zh-CN"/>
              </w:rPr>
            </w:pPr>
            <w:r>
              <w:rPr>
                <w:rFonts w:hint="eastAsia" w:ascii="仿宋" w:hAnsi="仿宋" w:eastAsia="仿宋" w:cs="仿宋"/>
                <w:sz w:val="22"/>
                <w:szCs w:val="22"/>
                <w:lang w:val="en-US" w:eastAsia="zh-CN"/>
              </w:rPr>
              <w:t>3.1</w:t>
            </w:r>
            <w:r>
              <w:rPr>
                <w:rFonts w:hint="eastAsia" w:ascii="仿宋" w:hAnsi="仿宋" w:eastAsia="仿宋" w:cs="仿宋"/>
                <w:sz w:val="22"/>
                <w:szCs w:val="22"/>
              </w:rPr>
              <w:t>具有较强的整合知识和综合运用知识的能力</w:t>
            </w:r>
            <w:r>
              <w:rPr>
                <w:rFonts w:hint="eastAsia" w:ascii="仿宋" w:hAnsi="仿宋" w:eastAsia="仿宋" w:cs="仿宋"/>
                <w:sz w:val="22"/>
                <w:szCs w:val="22"/>
                <w:lang w:eastAsia="zh-CN"/>
              </w:rPr>
              <w:t>；</w:t>
            </w:r>
          </w:p>
          <w:p>
            <w:pPr>
              <w:adjustRightInd w:val="0"/>
              <w:snapToGrid w:val="0"/>
              <w:ind w:firstLine="440" w:firstLineChars="200"/>
              <w:jc w:val="left"/>
              <w:rPr>
                <w:rFonts w:hint="eastAsia" w:ascii="仿宋" w:hAnsi="仿宋" w:eastAsia="仿宋" w:cs="仿宋"/>
                <w:sz w:val="22"/>
                <w:szCs w:val="22"/>
                <w:lang w:eastAsia="zh-CN"/>
              </w:rPr>
            </w:pPr>
            <w:r>
              <w:rPr>
                <w:rFonts w:hint="eastAsia" w:ascii="仿宋" w:hAnsi="仿宋" w:eastAsia="仿宋" w:cs="仿宋"/>
                <w:sz w:val="22"/>
                <w:szCs w:val="22"/>
                <w:lang w:val="en-US" w:eastAsia="zh-CN"/>
              </w:rPr>
              <w:t>3.2</w:t>
            </w:r>
            <w:r>
              <w:rPr>
                <w:rFonts w:hint="eastAsia" w:ascii="仿宋" w:hAnsi="仿宋" w:eastAsia="仿宋" w:cs="仿宋"/>
                <w:sz w:val="22"/>
                <w:szCs w:val="22"/>
              </w:rPr>
              <w:t>具有从事装备制造领域中高端产品制造的能力，具有完成机电设备故障诊断与维修、设计与技术改进、</w:t>
            </w:r>
            <w:r>
              <w:rPr>
                <w:rFonts w:hint="eastAsia" w:ascii="仿宋" w:hAnsi="仿宋" w:eastAsia="仿宋" w:cs="仿宋"/>
                <w:sz w:val="22"/>
                <w:szCs w:val="22"/>
                <w:lang w:val="en-US" w:eastAsia="zh-CN"/>
              </w:rPr>
              <w:t>智能制造系统</w:t>
            </w:r>
            <w:r>
              <w:rPr>
                <w:rFonts w:hint="eastAsia" w:ascii="仿宋" w:hAnsi="仿宋" w:eastAsia="仿宋" w:cs="仿宋"/>
                <w:sz w:val="22"/>
                <w:szCs w:val="22"/>
              </w:rPr>
              <w:t>集</w:t>
            </w:r>
            <w:r>
              <w:rPr>
                <w:rFonts w:hint="eastAsia" w:ascii="仿宋" w:hAnsi="仿宋" w:eastAsia="仿宋" w:cs="仿宋"/>
                <w:sz w:val="22"/>
                <w:szCs w:val="22"/>
                <w:lang w:val="en-US" w:eastAsia="zh-CN"/>
              </w:rPr>
              <w:t>调试</w:t>
            </w:r>
            <w:r>
              <w:rPr>
                <w:rFonts w:hint="eastAsia" w:ascii="仿宋" w:hAnsi="仿宋" w:eastAsia="仿宋" w:cs="仿宋"/>
                <w:sz w:val="22"/>
                <w:szCs w:val="22"/>
              </w:rPr>
              <w:t>成等岗位工作任务的能力</w:t>
            </w:r>
            <w:r>
              <w:rPr>
                <w:rFonts w:hint="eastAsia" w:ascii="仿宋" w:hAnsi="仿宋" w:eastAsia="仿宋" w:cs="仿宋"/>
                <w:sz w:val="22"/>
                <w:szCs w:val="22"/>
                <w:lang w:eastAsia="zh-CN"/>
              </w:rPr>
              <w:t>；</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3.3</w:t>
            </w:r>
            <w:r>
              <w:rPr>
                <w:rFonts w:hint="eastAsia" w:ascii="仿宋" w:hAnsi="仿宋" w:eastAsia="仿宋" w:cs="仿宋"/>
                <w:sz w:val="22"/>
                <w:szCs w:val="22"/>
              </w:rPr>
              <w:t>具有从事方案设计、过程监控、解决现场技术问题和现场创新的能力，具有解决岗位现场较复杂问题的能力，具有实施现场管理的能力；</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3.4</w:t>
            </w:r>
            <w:r>
              <w:rPr>
                <w:rFonts w:hint="eastAsia" w:ascii="仿宋" w:hAnsi="仿宋" w:eastAsia="仿宋" w:cs="仿宋"/>
                <w:sz w:val="22"/>
                <w:szCs w:val="22"/>
              </w:rPr>
              <w:t xml:space="preserve">具有参与制订技术规程与技术方案的能力，能够从事技术研发、科技成果或实验成果转化； </w:t>
            </w:r>
          </w:p>
          <w:p>
            <w:pPr>
              <w:adjustRightInd w:val="0"/>
              <w:snapToGrid w:val="0"/>
              <w:ind w:firstLine="440" w:firstLineChars="200"/>
              <w:jc w:val="left"/>
              <w:rPr>
                <w:rFonts w:hint="eastAsia" w:ascii="仿宋" w:hAnsi="仿宋" w:eastAsia="仿宋" w:cs="仿宋"/>
                <w:sz w:val="22"/>
                <w:szCs w:val="22"/>
              </w:rPr>
            </w:pPr>
            <w:r>
              <w:rPr>
                <w:rFonts w:hint="eastAsia" w:ascii="仿宋" w:hAnsi="仿宋" w:eastAsia="仿宋" w:cs="仿宋"/>
                <w:sz w:val="22"/>
                <w:szCs w:val="22"/>
                <w:lang w:val="en-US" w:eastAsia="zh-CN"/>
              </w:rPr>
              <w:t>3.5</w:t>
            </w:r>
            <w:r>
              <w:rPr>
                <w:rFonts w:hint="eastAsia" w:ascii="仿宋" w:hAnsi="仿宋" w:eastAsia="仿宋" w:cs="仿宋"/>
                <w:sz w:val="22"/>
                <w:szCs w:val="22"/>
              </w:rPr>
              <w:t>具有探究学习、终身学习和可持续发展的能力，能够适应新技术、新岗位的要求；具有批判性思维、创新思维、创业意识，具有较强的分析问题和解决问题的能力；</w:t>
            </w:r>
          </w:p>
        </w:tc>
      </w:tr>
    </w:tbl>
    <w:p/>
    <w:p>
      <w:pPr>
        <w:pStyle w:val="3"/>
        <w:spacing w:before="40" w:after="40" w:line="360" w:lineRule="auto"/>
        <w:ind w:firstLine="602" w:firstLineChars="200"/>
        <w:rPr>
          <w:rFonts w:hint="eastAsia" w:ascii="黑体" w:hAnsi="黑体" w:eastAsia="黑体" w:cs="黑体"/>
          <w:sz w:val="30"/>
          <w:szCs w:val="30"/>
        </w:rPr>
      </w:pPr>
      <w:bookmarkStart w:id="8" w:name="_Toc27196"/>
      <w:r>
        <w:rPr>
          <w:rFonts w:hint="eastAsia" w:ascii="黑体" w:hAnsi="黑体" w:eastAsia="黑体" w:cs="黑体"/>
          <w:sz w:val="30"/>
          <w:szCs w:val="30"/>
        </w:rPr>
        <w:t>六、课程设置及要求</w:t>
      </w:r>
      <w:bookmarkEnd w:id="8"/>
    </w:p>
    <w:p>
      <w:pPr>
        <w:pStyle w:val="2"/>
        <w:ind w:firstLine="562" w:firstLineChars="200"/>
        <w:rPr>
          <w:rFonts w:hint="eastAsia" w:ascii="仿宋_GB2312" w:hAnsi="仿宋_GB2312" w:eastAsia="仿宋_GB2312" w:cs="仿宋_GB2312"/>
          <w:sz w:val="28"/>
          <w:szCs w:val="36"/>
        </w:rPr>
      </w:pPr>
      <w:bookmarkStart w:id="9" w:name="_Toc12977"/>
      <w:r>
        <w:rPr>
          <w:rFonts w:hint="eastAsia" w:ascii="仿宋_GB2312" w:hAnsi="仿宋_GB2312" w:eastAsia="仿宋_GB2312" w:cs="仿宋_GB2312"/>
          <w:sz w:val="28"/>
          <w:szCs w:val="36"/>
        </w:rPr>
        <w:t>（一）课程体系</w:t>
      </w:r>
      <w:bookmarkEnd w:id="9"/>
    </w:p>
    <w:p>
      <w:pPr>
        <w:pStyle w:val="7"/>
        <w:rPr>
          <w:rFonts w:hint="eastAsia" w:ascii="仿宋" w:hAnsi="仿宋" w:eastAsia="仿宋" w:cs="仿宋"/>
          <w:sz w:val="30"/>
          <w:szCs w:val="30"/>
        </w:rPr>
      </w:pPr>
      <w:r>
        <w:rPr>
          <w:rFonts w:hint="eastAsia" w:ascii="仿宋" w:hAnsi="仿宋" w:eastAsia="仿宋" w:cs="仿宋"/>
          <w:sz w:val="30"/>
          <w:szCs w:val="30"/>
        </w:rPr>
        <w:t>1.课程体系结构</w:t>
      </w:r>
    </w:p>
    <w:p>
      <w:pPr>
        <w:pStyle w:val="7"/>
        <w:ind w:left="0" w:leftChars="0" w:firstLine="0" w:firstLineChars="0"/>
        <w:jc w:val="center"/>
        <w:rPr>
          <w:rFonts w:hint="eastAsia" w:ascii="仿宋" w:hAnsi="仿宋" w:eastAsia="仿宋" w:cs="仿宋"/>
          <w:sz w:val="30"/>
          <w:szCs w:val="30"/>
        </w:rPr>
      </w:pPr>
      <w:r>
        <w:drawing>
          <wp:inline distT="0" distB="0" distL="114300" distR="114300">
            <wp:extent cx="5391150" cy="3033395"/>
            <wp:effectExtent l="0" t="0" r="6350" b="190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9"/>
                    <a:stretch>
                      <a:fillRect/>
                    </a:stretch>
                  </pic:blipFill>
                  <pic:spPr>
                    <a:xfrm>
                      <a:off x="0" y="0"/>
                      <a:ext cx="5391150" cy="3033395"/>
                    </a:xfrm>
                    <a:prstGeom prst="rect">
                      <a:avLst/>
                    </a:prstGeom>
                    <a:noFill/>
                    <a:ln>
                      <a:noFill/>
                    </a:ln>
                  </pic:spPr>
                </pic:pic>
              </a:graphicData>
            </a:graphic>
          </wp:inline>
        </w:drawing>
      </w:r>
    </w:p>
    <w:p>
      <w:pPr>
        <w:pStyle w:val="7"/>
        <w:rPr>
          <w:rFonts w:hint="eastAsia" w:ascii="仿宋" w:hAnsi="仿宋" w:eastAsia="仿宋" w:cs="仿宋"/>
          <w:sz w:val="30"/>
          <w:szCs w:val="30"/>
        </w:rPr>
      </w:pPr>
    </w:p>
    <w:p>
      <w:pPr>
        <w:pStyle w:val="7"/>
        <w:rPr>
          <w:rFonts w:hint="eastAsia" w:ascii="仿宋" w:hAnsi="仿宋" w:eastAsia="仿宋" w:cs="仿宋"/>
          <w:sz w:val="30"/>
          <w:szCs w:val="30"/>
        </w:rPr>
      </w:pPr>
    </w:p>
    <w:p>
      <w:pPr>
        <w:pStyle w:val="7"/>
        <w:rPr>
          <w:rFonts w:hint="eastAsia" w:ascii="仿宋" w:hAnsi="仿宋" w:eastAsia="仿宋" w:cs="仿宋"/>
          <w:sz w:val="30"/>
          <w:szCs w:val="30"/>
        </w:rPr>
      </w:pPr>
    </w:p>
    <w:p>
      <w:pPr>
        <w:pStyle w:val="7"/>
        <w:rPr>
          <w:rFonts w:hint="eastAsia" w:ascii="仿宋" w:hAnsi="仿宋" w:eastAsia="仿宋" w:cs="仿宋"/>
          <w:sz w:val="30"/>
          <w:szCs w:val="30"/>
        </w:rPr>
      </w:pPr>
    </w:p>
    <w:p>
      <w:pPr>
        <w:pStyle w:val="7"/>
        <w:rPr>
          <w:rFonts w:hint="eastAsia" w:ascii="仿宋" w:hAnsi="仿宋" w:eastAsia="仿宋" w:cs="仿宋"/>
          <w:sz w:val="30"/>
          <w:szCs w:val="30"/>
        </w:rPr>
        <w:sectPr>
          <w:footerReference r:id="rId4" w:type="default"/>
          <w:pgSz w:w="11906" w:h="16838"/>
          <w:pgMar w:top="1440" w:right="1803" w:bottom="1440" w:left="1803" w:header="851" w:footer="992" w:gutter="0"/>
          <w:pgNumType w:fmt="decimal" w:start="1"/>
          <w:cols w:space="0" w:num="1"/>
          <w:docGrid w:type="lines" w:linePitch="319" w:charSpace="0"/>
        </w:sectPr>
      </w:pPr>
    </w:p>
    <w:p>
      <w:pPr>
        <w:pStyle w:val="7"/>
        <w:rPr>
          <w:rFonts w:hint="eastAsia" w:ascii="仿宋" w:hAnsi="仿宋" w:eastAsia="仿宋" w:cs="仿宋"/>
          <w:sz w:val="30"/>
          <w:szCs w:val="30"/>
        </w:rPr>
      </w:pPr>
      <w:r>
        <w:rPr>
          <w:rFonts w:hint="eastAsia" w:ascii="仿宋" w:hAnsi="仿宋" w:eastAsia="仿宋" w:cs="仿宋"/>
          <w:sz w:val="30"/>
          <w:szCs w:val="30"/>
          <w:lang w:val="en-US" w:eastAsia="zh-CN"/>
        </w:rPr>
        <w:t>2.</w:t>
      </w:r>
      <w:r>
        <w:rPr>
          <w:rFonts w:hint="eastAsia" w:ascii="仿宋" w:hAnsi="仿宋" w:eastAsia="仿宋" w:cs="仿宋"/>
          <w:sz w:val="30"/>
          <w:szCs w:val="30"/>
        </w:rPr>
        <w:t>课程矩阵</w:t>
      </w:r>
    </w:p>
    <w:p>
      <w:pPr>
        <w:pStyle w:val="25"/>
        <w:adjustRightInd w:val="0"/>
        <w:snapToGrid w:val="0"/>
        <w:spacing w:line="360" w:lineRule="auto"/>
        <w:ind w:firstLine="442"/>
        <w:jc w:val="center"/>
        <w:rPr>
          <w:rFonts w:hint="eastAsia" w:ascii="仿宋" w:hAnsi="仿宋" w:eastAsia="仿宋" w:cs="仿宋"/>
          <w:b/>
          <w:bCs/>
          <w:sz w:val="22"/>
          <w:szCs w:val="22"/>
        </w:rPr>
      </w:pPr>
      <w:r>
        <w:rPr>
          <w:rFonts w:hint="eastAsia" w:ascii="仿宋" w:hAnsi="仿宋" w:eastAsia="仿宋" w:cs="仿宋"/>
          <w:b/>
          <w:bCs/>
          <w:sz w:val="22"/>
          <w:szCs w:val="22"/>
        </w:rPr>
        <w:t>表</w:t>
      </w:r>
      <w:r>
        <w:rPr>
          <w:rFonts w:hint="eastAsia" w:ascii="仿宋" w:hAnsi="仿宋" w:eastAsia="仿宋" w:cs="仿宋"/>
          <w:b/>
          <w:bCs/>
          <w:sz w:val="22"/>
          <w:szCs w:val="22"/>
          <w:lang w:val="en-US" w:eastAsia="zh-CN"/>
        </w:rPr>
        <w:t>1</w:t>
      </w:r>
      <w:r>
        <w:rPr>
          <w:rFonts w:hint="eastAsia" w:ascii="仿宋" w:hAnsi="仿宋" w:eastAsia="仿宋" w:cs="仿宋"/>
          <w:b/>
          <w:bCs/>
          <w:sz w:val="22"/>
          <w:szCs w:val="22"/>
        </w:rPr>
        <w:t>：课程矩阵</w:t>
      </w:r>
    </w:p>
    <w:tbl>
      <w:tblPr>
        <w:tblStyle w:val="15"/>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7"/>
        <w:gridCol w:w="2316"/>
        <w:gridCol w:w="756"/>
        <w:gridCol w:w="656"/>
        <w:gridCol w:w="656"/>
        <w:gridCol w:w="656"/>
        <w:gridCol w:w="656"/>
        <w:gridCol w:w="656"/>
        <w:gridCol w:w="656"/>
        <w:gridCol w:w="656"/>
        <w:gridCol w:w="656"/>
        <w:gridCol w:w="656"/>
        <w:gridCol w:w="656"/>
        <w:gridCol w:w="656"/>
        <w:gridCol w:w="656"/>
        <w:gridCol w:w="656"/>
        <w:gridCol w:w="656"/>
        <w:gridCol w:w="656"/>
        <w:gridCol w:w="6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4" w:type="pct"/>
            <w:gridSpan w:val="2"/>
            <w:tcBorders>
              <w:tl2br w:val="single" w:color="auto" w:sz="4" w:space="0"/>
            </w:tcBorders>
            <w:shd w:val="clear" w:color="auto" w:fill="auto"/>
          </w:tcPr>
          <w:p>
            <w:pPr>
              <w:pStyle w:val="26"/>
              <w:jc w:val="right"/>
              <w:rPr>
                <w:rFonts w:hint="eastAsia" w:ascii="仿宋" w:hAnsi="仿宋" w:eastAsia="仿宋" w:cs="仿宋"/>
                <w:sz w:val="24"/>
                <w:szCs w:val="24"/>
              </w:rPr>
            </w:pPr>
            <w:r>
              <w:rPr>
                <w:rFonts w:hint="eastAsia" w:ascii="仿宋" w:hAnsi="仿宋" w:eastAsia="仿宋" w:cs="仿宋"/>
                <w:sz w:val="24"/>
                <w:szCs w:val="24"/>
              </w:rPr>
              <w:t>培养规格</w:t>
            </w:r>
          </w:p>
          <w:p>
            <w:pPr>
              <w:pStyle w:val="26"/>
              <w:rPr>
                <w:rFonts w:hint="eastAsia" w:ascii="仿宋" w:hAnsi="仿宋" w:eastAsia="仿宋" w:cs="仿宋"/>
                <w:sz w:val="24"/>
                <w:szCs w:val="24"/>
              </w:rPr>
            </w:pPr>
            <w:r>
              <w:rPr>
                <w:rFonts w:hint="eastAsia" w:ascii="仿宋" w:hAnsi="仿宋" w:eastAsia="仿宋" w:cs="仿宋"/>
                <w:sz w:val="24"/>
                <w:szCs w:val="24"/>
              </w:rPr>
              <w:t>课程名称</w:t>
            </w:r>
          </w:p>
        </w:tc>
        <w:tc>
          <w:tcPr>
            <w:tcW w:w="266" w:type="pct"/>
            <w:shd w:val="clear" w:color="auto" w:fill="auto"/>
            <w:vAlign w:val="center"/>
          </w:tcPr>
          <w:p>
            <w:pPr>
              <w:pStyle w:val="26"/>
              <w:jc w:val="center"/>
              <w:rPr>
                <w:rFonts w:hint="eastAsia" w:ascii="仿宋" w:hAnsi="仿宋" w:eastAsia="仿宋" w:cs="仿宋"/>
                <w:sz w:val="24"/>
                <w:szCs w:val="24"/>
              </w:rPr>
            </w:pPr>
            <w:r>
              <w:rPr>
                <w:rFonts w:hint="eastAsia" w:ascii="仿宋" w:hAnsi="仿宋" w:eastAsia="仿宋" w:cs="仿宋"/>
                <w:sz w:val="24"/>
                <w:szCs w:val="24"/>
              </w:rPr>
              <w:t>1.1</w:t>
            </w:r>
          </w:p>
        </w:tc>
        <w:tc>
          <w:tcPr>
            <w:tcW w:w="231" w:type="pct"/>
            <w:shd w:val="clear" w:color="auto" w:fill="auto"/>
            <w:vAlign w:val="center"/>
          </w:tcPr>
          <w:p>
            <w:pPr>
              <w:pStyle w:val="26"/>
              <w:jc w:val="center"/>
              <w:rPr>
                <w:rFonts w:hint="eastAsia" w:ascii="仿宋" w:hAnsi="仿宋" w:eastAsia="仿宋" w:cs="仿宋"/>
                <w:sz w:val="24"/>
                <w:szCs w:val="24"/>
              </w:rPr>
            </w:pPr>
            <w:r>
              <w:rPr>
                <w:rFonts w:hint="eastAsia" w:ascii="仿宋" w:hAnsi="仿宋" w:eastAsia="仿宋" w:cs="仿宋"/>
                <w:sz w:val="24"/>
                <w:szCs w:val="24"/>
              </w:rPr>
              <w:t>1.2</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1.3</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1.4</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1.5</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1.6</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1.7</w:t>
            </w: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2.1</w:t>
            </w: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2.2</w:t>
            </w: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2.3</w:t>
            </w: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2.4</w:t>
            </w: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2.5</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3.1</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3.2</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3.3</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3.4</w:t>
            </w:r>
          </w:p>
        </w:tc>
        <w:tc>
          <w:tcPr>
            <w:tcW w:w="234"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1</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2</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形势与政策（一）-（六）</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3</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4</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5</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马克思主义基本原理</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6</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中国近现代史纲要</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7</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8</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9</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中华民族共同体概论</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7" w:type="pct"/>
            <w:shd w:val="clear" w:color="auto" w:fill="auto"/>
          </w:tcPr>
          <w:p>
            <w:pPr>
              <w:pStyle w:val="26"/>
              <w:jc w:val="center"/>
              <w:rPr>
                <w:rFonts w:hint="eastAsia" w:ascii="仿宋" w:hAnsi="仿宋" w:eastAsia="仿宋" w:cs="仿宋"/>
                <w:sz w:val="24"/>
                <w:szCs w:val="24"/>
              </w:rPr>
            </w:pPr>
            <w:r>
              <w:rPr>
                <w:rFonts w:hint="eastAsia" w:ascii="仿宋" w:hAnsi="仿宋" w:eastAsia="仿宋" w:cs="仿宋"/>
                <w:sz w:val="24"/>
                <w:szCs w:val="24"/>
              </w:rPr>
              <w:t>10</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11</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12</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大学生安全教育（一）-（六）</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13</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14</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15</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大学体育（一）-（四）</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16</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18</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19</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20</w:t>
            </w:r>
          </w:p>
        </w:tc>
        <w:tc>
          <w:tcPr>
            <w:tcW w:w="817" w:type="pct"/>
            <w:shd w:val="clear" w:color="auto" w:fill="auto"/>
            <w:vAlign w:val="center"/>
          </w:tcPr>
          <w:p>
            <w:pPr>
              <w:keepNext w:val="0"/>
              <w:keepLines w:val="0"/>
              <w:widowControl/>
              <w:suppressLineNumbers w:val="0"/>
              <w:jc w:val="left"/>
              <w:textAlignment w:val="center"/>
              <w:rPr>
                <w:rFonts w:hint="eastAsia" w:ascii="仿宋" w:hAnsi="仿宋" w:eastAsia="仿宋" w:cs="仿宋"/>
                <w:sz w:val="21"/>
                <w:szCs w:val="21"/>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266"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21</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266"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22</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线性代数</w:t>
            </w:r>
          </w:p>
        </w:tc>
        <w:tc>
          <w:tcPr>
            <w:tcW w:w="266"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default"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4"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23</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大学物理</w:t>
            </w:r>
          </w:p>
        </w:tc>
        <w:tc>
          <w:tcPr>
            <w:tcW w:w="266"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24</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266" w:type="pct"/>
            <w:shd w:val="clear" w:color="auto" w:fill="auto"/>
            <w:vAlign w:val="center"/>
          </w:tcPr>
          <w:p>
            <w:pPr>
              <w:pStyle w:val="26"/>
              <w:jc w:val="center"/>
              <w:rPr>
                <w:rFonts w:hint="default"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25</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电工与电子技术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26</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机械制图</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center"/>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27</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机械设计基础</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28</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机械制造技术基础</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29</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工程力学</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30</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电气控制与PLC应用技术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31</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液压与气动技术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32</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数字化设计与仿真</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33</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电机与运动控制技术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34</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工业机器人应用技术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35</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数控机床编程与操作</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36</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电气控制系统设计与装调</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37</w:t>
            </w:r>
          </w:p>
        </w:tc>
        <w:tc>
          <w:tcPr>
            <w:tcW w:w="817" w:type="pct"/>
            <w:shd w:val="clear" w:color="auto" w:fill="auto"/>
            <w:vAlign w:val="center"/>
          </w:tcPr>
          <w:p>
            <w:pPr>
              <w:keepNext w:val="0"/>
              <w:keepLines w:val="0"/>
              <w:widowControl/>
              <w:suppressLineNumbers w:val="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机电产品数字孪生技术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4"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38</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机电产品创新设计</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39</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自动化生产线设计与调试</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40</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工业控制网络技术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41</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传感器与视觉检测技术</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42</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机电设备故障诊断与维修</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43</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266"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44</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电工技能实训</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45</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CAD工程图绘制</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46</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智能制造产线调试与运行</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47</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课程设计1：机械零件测绘</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48</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课程设计2：PLC项目设计</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49</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课程设计3：机械产品数字化设计与仿真</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50</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课程设计4：机械零部件数控加工</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51</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c>
          <w:tcPr>
            <w:tcW w:w="234" w:type="pct"/>
            <w:shd w:val="clear" w:color="auto" w:fill="auto"/>
            <w:vAlign w:val="center"/>
          </w:tcPr>
          <w:p>
            <w:pPr>
              <w:pStyle w:val="26"/>
              <w:jc w:val="center"/>
              <w:rPr>
                <w:rFonts w:hint="eastAsia"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vAlign w:val="top"/>
          </w:tcPr>
          <w:p>
            <w:pPr>
              <w:pStyle w:val="26"/>
              <w:jc w:val="center"/>
              <w:rPr>
                <w:rFonts w:hint="default" w:ascii="仿宋" w:hAnsi="仿宋" w:eastAsia="仿宋" w:cs="仿宋"/>
                <w:kern w:val="2"/>
                <w:sz w:val="24"/>
                <w:szCs w:val="24"/>
                <w:lang w:val="en-US" w:eastAsia="zh-CN" w:bidi="ar-SA"/>
              </w:rPr>
            </w:pPr>
            <w:r>
              <w:rPr>
                <w:rFonts w:hint="eastAsia" w:ascii="仿宋" w:hAnsi="仿宋" w:eastAsia="仿宋" w:cs="仿宋"/>
                <w:sz w:val="24"/>
                <w:szCs w:val="24"/>
                <w:lang w:val="en-US" w:eastAsia="zh-CN"/>
              </w:rPr>
              <w:t>52</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p>
        </w:tc>
        <w:tc>
          <w:tcPr>
            <w:tcW w:w="234" w:type="pct"/>
            <w:shd w:val="clear" w:color="auto" w:fill="auto"/>
            <w:vAlign w:val="center"/>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shd w:val="clear" w:color="auto" w:fill="auto"/>
          </w:tcPr>
          <w:p>
            <w:pPr>
              <w:pStyle w:val="26"/>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53</w:t>
            </w:r>
          </w:p>
        </w:tc>
        <w:tc>
          <w:tcPr>
            <w:tcW w:w="817" w:type="pct"/>
            <w:shd w:val="clear" w:color="auto" w:fill="auto"/>
            <w:vAlign w:val="center"/>
          </w:tcPr>
          <w:p>
            <w:pPr>
              <w:keepNext w:val="0"/>
              <w:keepLines w:val="0"/>
              <w:widowControl/>
              <w:suppressLineNumbers w:val="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266"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L</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M</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1" w:type="pct"/>
            <w:shd w:val="clear" w:color="auto" w:fill="auto"/>
            <w:vAlign w:val="center"/>
          </w:tcPr>
          <w:p>
            <w:pPr>
              <w:pStyle w:val="26"/>
              <w:jc w:val="center"/>
              <w:rPr>
                <w:rFonts w:hint="eastAsia" w:ascii="仿宋" w:hAnsi="仿宋" w:eastAsia="仿宋" w:cs="仿宋"/>
                <w:sz w:val="24"/>
                <w:szCs w:val="24"/>
              </w:rPr>
            </w:pPr>
          </w:p>
        </w:tc>
        <w:tc>
          <w:tcPr>
            <w:tcW w:w="231"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c>
          <w:tcPr>
            <w:tcW w:w="234" w:type="pct"/>
            <w:shd w:val="clear" w:color="auto" w:fill="auto"/>
            <w:vAlign w:val="center"/>
          </w:tcPr>
          <w:p>
            <w:pPr>
              <w:pStyle w:val="26"/>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H</w:t>
            </w:r>
          </w:p>
        </w:tc>
      </w:tr>
    </w:tbl>
    <w:p>
      <w:pPr>
        <w:pStyle w:val="7"/>
        <w:rPr>
          <w:rFonts w:hint="eastAsia"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pPr>
        <w:pStyle w:val="7"/>
        <w:rPr>
          <w:rFonts w:hint="eastAsia" w:ascii="仿宋" w:hAnsi="仿宋" w:eastAsia="仿宋" w:cs="仿宋"/>
          <w:sz w:val="30"/>
          <w:szCs w:val="30"/>
        </w:rPr>
        <w:sectPr>
          <w:pgSz w:w="16838" w:h="11906" w:orient="landscape"/>
          <w:pgMar w:top="1803" w:right="1440" w:bottom="1803" w:left="1440" w:header="851" w:footer="992" w:gutter="0"/>
          <w:pgNumType w:fmt="decimal"/>
          <w:cols w:space="0" w:num="1"/>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10" w:name="_Toc4982"/>
      <w:r>
        <w:rPr>
          <w:rFonts w:hint="eastAsia" w:ascii="仿宋_GB2312" w:hAnsi="仿宋_GB2312" w:eastAsia="仿宋_GB2312" w:cs="仿宋_GB2312"/>
          <w:sz w:val="28"/>
          <w:szCs w:val="36"/>
        </w:rPr>
        <w:t>（二）课程设置</w:t>
      </w:r>
      <w:bookmarkEnd w:id="10"/>
    </w:p>
    <w:p>
      <w:pPr>
        <w:pStyle w:val="7"/>
        <w:rPr>
          <w:rFonts w:hint="eastAsia" w:ascii="仿宋" w:hAnsi="仿宋" w:eastAsia="仿宋" w:cs="仿宋"/>
          <w:sz w:val="30"/>
          <w:szCs w:val="30"/>
        </w:rPr>
      </w:pPr>
      <w:r>
        <w:rPr>
          <w:rFonts w:hint="eastAsia" w:ascii="仿宋" w:hAnsi="仿宋" w:eastAsia="仿宋" w:cs="仿宋"/>
          <w:sz w:val="30"/>
          <w:szCs w:val="30"/>
        </w:rPr>
        <w:t>1.通识</w:t>
      </w:r>
      <w:r>
        <w:rPr>
          <w:rFonts w:hint="eastAsia" w:ascii="仿宋" w:hAnsi="仿宋" w:eastAsia="仿宋" w:cs="仿宋"/>
          <w:sz w:val="30"/>
          <w:szCs w:val="30"/>
          <w:lang w:val="en-US" w:eastAsia="zh-CN"/>
        </w:rPr>
        <w:t>教育</w:t>
      </w:r>
      <w:r>
        <w:rPr>
          <w:rFonts w:hint="eastAsia" w:ascii="仿宋" w:hAnsi="仿宋" w:eastAsia="仿宋" w:cs="仿宋"/>
          <w:sz w:val="30"/>
          <w:szCs w:val="30"/>
        </w:rPr>
        <w:t>课程设置</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2</w:t>
      </w:r>
      <w:r>
        <w:rPr>
          <w:rFonts w:hint="eastAsia" w:ascii="仿宋" w:hAnsi="仿宋" w:eastAsia="仿宋" w:cs="仿宋"/>
          <w:b/>
          <w:bCs/>
          <w:sz w:val="24"/>
          <w:szCs w:val="24"/>
        </w:rPr>
        <w:t xml:space="preserve"> 通识</w:t>
      </w:r>
      <w:r>
        <w:rPr>
          <w:rFonts w:hint="eastAsia" w:ascii="仿宋" w:hAnsi="仿宋" w:eastAsia="仿宋" w:cs="仿宋"/>
          <w:b/>
          <w:bCs/>
          <w:sz w:val="24"/>
          <w:szCs w:val="24"/>
          <w:lang w:val="en-US" w:eastAsia="zh-CN"/>
        </w:rPr>
        <w:t>教育</w:t>
      </w:r>
      <w:r>
        <w:rPr>
          <w:rFonts w:hint="eastAsia" w:ascii="仿宋" w:hAnsi="仿宋" w:eastAsia="仿宋" w:cs="仿宋"/>
          <w:b/>
          <w:bCs/>
          <w:sz w:val="24"/>
          <w:szCs w:val="24"/>
        </w:rPr>
        <w:t>课程描述</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445"/>
        <w:gridCol w:w="1179"/>
        <w:gridCol w:w="2448"/>
        <w:gridCol w:w="2472"/>
        <w:gridCol w:w="1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序号</w:t>
            </w:r>
          </w:p>
        </w:tc>
        <w:tc>
          <w:tcPr>
            <w:tcW w:w="692"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课程名称</w:t>
            </w:r>
          </w:p>
        </w:tc>
        <w:tc>
          <w:tcPr>
            <w:tcW w:w="1437"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课程目标</w:t>
            </w:r>
          </w:p>
        </w:tc>
        <w:tc>
          <w:tcPr>
            <w:tcW w:w="1451"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主要内容</w:t>
            </w:r>
          </w:p>
        </w:tc>
        <w:tc>
          <w:tcPr>
            <w:tcW w:w="1157"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692"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大学生安全教育（一）-（</w:t>
            </w:r>
            <w:r>
              <w:rPr>
                <w:rFonts w:hint="eastAsia" w:ascii="仿宋_GB2312" w:hAnsi="仿宋_GB2312" w:cs="仿宋_GB2312"/>
                <w:sz w:val="21"/>
                <w:szCs w:val="21"/>
                <w:highlight w:val="none"/>
                <w:lang w:val="en-US" w:eastAsia="zh-CN"/>
              </w:rPr>
              <w:t>六</w:t>
            </w:r>
            <w:r>
              <w:rPr>
                <w:rFonts w:hint="eastAsia" w:ascii="仿宋_GB2312" w:hAnsi="仿宋_GB2312" w:eastAsia="仿宋_GB2312" w:cs="仿宋_GB2312"/>
                <w:sz w:val="21"/>
                <w:szCs w:val="21"/>
                <w:highlight w:val="none"/>
              </w:rPr>
              <w:t>）</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692"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军事理论</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rPr>
            </w:pPr>
            <w:r>
              <w:rPr>
                <w:rFonts w:hint="eastAsia" w:ascii="仿宋_GB2312" w:hAnsi="仿宋_GB2312" w:eastAsia="仿宋_GB2312" w:cs="仿宋_GB2312"/>
                <w:sz w:val="21"/>
                <w:szCs w:val="21"/>
                <w:highlight w:val="none"/>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692"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形势与政策</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692" w:type="pct"/>
            <w:shd w:val="clear" w:color="auto" w:fill="FFFFFF" w:themeFill="background1"/>
            <w:vAlign w:val="center"/>
          </w:tcPr>
          <w:p>
            <w:pPr>
              <w:pStyle w:val="46"/>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与法治</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692"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国家安全教育</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bookmarkStart w:id="62" w:name="_GoBack"/>
            <w:bookmarkEnd w:id="6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692"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692"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lang w:val="en-US" w:eastAsia="zh-CN"/>
              </w:rPr>
            </w:pPr>
            <w:r>
              <w:rPr>
                <w:rFonts w:hint="eastAsia" w:ascii="仿宋_GB2312" w:hAnsi="仿宋_GB2312" w:cs="仿宋_GB2312"/>
                <w:b w:val="0"/>
                <w:bCs w:val="0"/>
                <w:sz w:val="21"/>
                <w:szCs w:val="21"/>
                <w:lang w:val="en-US" w:eastAsia="zh-CN"/>
              </w:rPr>
              <w:t>8</w:t>
            </w:r>
          </w:p>
        </w:tc>
        <w:tc>
          <w:tcPr>
            <w:tcW w:w="692"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中华民族共同体概论</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1.教学形式：混合式授课；</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692"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大学生职业发展与就业指导（一）-（二）</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2.实践部分：职业测评软件实操、职业生涯规划书撰写与路演、求职简历及自荐信定制、模拟面试与角色扮演、行业企业考察与校友访谈、参加全国大学生职业规划大赛。</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2.教室要求：多媒体教室+机房；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692"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大学生创新与创业实务（一）-（二）</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1.理论部分：创新创业概念与国家地方政策、创业模型、创新方法、精益创业原理；精益画布、商业模式画布等系统工具；创业团队组建、机会识别、财税基础、政策法规等。</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2.实践部分：新能源汽车、柳州螺蛳粉等地方产业命题项目实战；贝腾创新创业仿真系统训练；创业计划书撰写、路演 PPT 设计与现场路演；参加中国国际大学生创新大赛。</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1.教学形式：混合式教学、虚拟仿真与竞赛实战相结合；</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2.教室要求：多媒体教室、机房；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3.考核</w:t>
            </w:r>
            <w:r>
              <w:rPr>
                <w:rFonts w:hint="eastAsia" w:ascii="仿宋_GB2312" w:hAnsi="仿宋_GB2312" w:eastAsia="仿宋_GB2312" w:cs="仿宋_GB2312"/>
                <w:sz w:val="21"/>
                <w:szCs w:val="21"/>
                <w:lang w:val="en-US" w:eastAsia="zh-CN"/>
              </w:rPr>
              <w:t>形式</w:t>
            </w:r>
            <w:r>
              <w:rPr>
                <w:rFonts w:hint="eastAsia" w:ascii="仿宋_GB2312" w:hAnsi="仿宋_GB2312" w:eastAsia="仿宋_GB2312" w:cs="仿宋_GB2312"/>
                <w:sz w:val="21"/>
                <w:szCs w:val="21"/>
              </w:rPr>
              <w:t>：平时成绩60%，期末考核成绩40%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大学生心理健康教育（一）-（二）</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 理论部分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基础理论：心理健康标准、心理发展规律（青春期至成年早期）、身心交互机制</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核心能力模块：</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自我认知：人格特质理论、自我意识发展、优势识别工具</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情绪管理：情绪ABC理论、正念调节技术、危机预警信号识别</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压力应对：压力源分析、认知重构策略、心身放松技术</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人际关系：沟通分析（TA理论）、边界建立、冲突化解模型</w:t>
            </w:r>
            <w:r>
              <w:rPr>
                <w:rFonts w:hint="eastAsia" w:ascii="仿宋_GB2312" w:hAnsi="仿宋_GB2312" w:eastAsia="仿宋_GB2312" w:cs="仿宋_GB2312"/>
                <w:sz w:val="21"/>
                <w:szCs w:val="21"/>
                <w:lang w:eastAsia="zh-CN"/>
              </w:rPr>
              <w:t>、恋爱关系发展模型、 健康性心理标准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生命教育：意义感构建、挫折应对、心理危机干预体系</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 实践部分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团体心理辅导：角色扮演、信任构建</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个人心理健康计划书制定</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校园心理微电影创作</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大学英语（一）-（二）</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强化学生英语语言技能，促进学生英语学科核心素养的发展，</w:t>
            </w:r>
            <w:r>
              <w:rPr>
                <w:rFonts w:hint="eastAsia" w:ascii="仿宋_GB2312" w:hAnsi="仿宋_GB2312" w:eastAsia="仿宋_GB2312" w:cs="仿宋_GB2312"/>
                <w:sz w:val="21"/>
                <w:szCs w:val="21"/>
                <w:lang w:val="en-US" w:eastAsia="zh-CN"/>
              </w:rPr>
              <w:t>培养具有中国情怀、国际视野，能够在日常生活和职场中用英语进行有效沟通的高素质技术技能人才</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人文生活、职业规范、科技发展、生产环境等相关的语篇及素材</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1.</w:t>
            </w:r>
            <w:r>
              <w:rPr>
                <w:rFonts w:hint="eastAsia" w:ascii="仿宋_GB2312" w:hAnsi="仿宋_GB2312" w:eastAsia="仿宋_GB2312" w:cs="仿宋_GB2312"/>
                <w:sz w:val="21"/>
                <w:szCs w:val="21"/>
              </w:rPr>
              <w:t>教学形式：混合式</w:t>
            </w:r>
            <w:r>
              <w:rPr>
                <w:rFonts w:hint="eastAsia" w:ascii="仿宋_GB2312" w:hAnsi="仿宋_GB2312" w:eastAsia="仿宋_GB2312" w:cs="仿宋_GB2312"/>
                <w:sz w:val="21"/>
                <w:szCs w:val="21"/>
                <w:lang w:val="en-US" w:eastAsia="zh-CN"/>
              </w:rPr>
              <w:t>教学法</w:t>
            </w:r>
            <w:r>
              <w:rPr>
                <w:rFonts w:hint="eastAsia" w:ascii="仿宋_GB2312" w:hAnsi="仿宋_GB2312" w:eastAsia="仿宋_GB2312" w:cs="仿宋_GB2312"/>
                <w:sz w:val="21"/>
                <w:szCs w:val="21"/>
              </w:rPr>
              <w:t>；</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2.</w:t>
            </w:r>
            <w:r>
              <w:rPr>
                <w:rFonts w:hint="eastAsia" w:ascii="仿宋_GB2312" w:hAnsi="仿宋_GB2312" w:eastAsia="仿宋_GB2312" w:cs="仿宋_GB2312"/>
                <w:sz w:val="21"/>
                <w:szCs w:val="21"/>
              </w:rPr>
              <w:t>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3.</w:t>
            </w:r>
            <w:r>
              <w:rPr>
                <w:rFonts w:hint="eastAsia" w:ascii="仿宋_GB2312" w:hAnsi="仿宋_GB2312" w:eastAsia="仿宋_GB2312" w:cs="仿宋_GB2312"/>
                <w:sz w:val="21"/>
                <w:szCs w:val="21"/>
              </w:rPr>
              <w:t>考核</w:t>
            </w:r>
            <w:r>
              <w:rPr>
                <w:rFonts w:hint="eastAsia" w:ascii="仿宋_GB2312" w:hAnsi="仿宋_GB2312" w:eastAsia="仿宋_GB2312" w:cs="仿宋_GB2312"/>
                <w:sz w:val="21"/>
                <w:szCs w:val="21"/>
                <w:lang w:val="en-US" w:eastAsia="zh-CN"/>
              </w:rPr>
              <w:t>形式</w:t>
            </w:r>
            <w:r>
              <w:rPr>
                <w:rFonts w:hint="eastAsia" w:ascii="仿宋_GB2312" w:hAnsi="仿宋_GB2312" w:eastAsia="仿宋_GB2312" w:cs="仿宋_GB2312"/>
                <w:sz w:val="21"/>
                <w:szCs w:val="21"/>
              </w:rPr>
              <w:t>：平时考核（在线统计）</w:t>
            </w:r>
            <w:r>
              <w:rPr>
                <w:rFonts w:hint="eastAsia" w:ascii="仿宋_GB2312" w:hAnsi="仿宋_GB2312" w:eastAsia="仿宋_GB2312" w:cs="仿宋_GB2312"/>
                <w:sz w:val="21"/>
                <w:szCs w:val="21"/>
                <w:lang w:val="en-US" w:eastAsia="zh-CN"/>
              </w:rPr>
              <w:t>5</w:t>
            </w:r>
            <w:r>
              <w:rPr>
                <w:rFonts w:hint="eastAsia" w:ascii="仿宋_GB2312" w:hAnsi="仿宋_GB2312" w:eastAsia="仿宋_GB2312" w:cs="仿宋_GB2312"/>
                <w:sz w:val="21"/>
                <w:szCs w:val="21"/>
              </w:rPr>
              <w:t>0%，口语实训20%，期末测试成绩</w:t>
            </w:r>
            <w:r>
              <w:rPr>
                <w:rFonts w:hint="eastAsia" w:ascii="仿宋_GB2312" w:hAnsi="仿宋_GB2312" w:eastAsia="仿宋_GB2312" w:cs="仿宋_GB2312"/>
                <w:sz w:val="21"/>
                <w:szCs w:val="21"/>
                <w:lang w:val="en-US" w:eastAsia="zh-CN"/>
              </w:rPr>
              <w:t>3</w:t>
            </w:r>
            <w:r>
              <w:rPr>
                <w:rFonts w:hint="eastAsia" w:ascii="仿宋_GB2312" w:hAnsi="仿宋_GB2312" w:eastAsia="仿宋_GB2312" w:cs="仿宋_GB231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大学体育（一）</w:t>
            </w:r>
          </w:p>
        </w:tc>
        <w:tc>
          <w:tcPr>
            <w:tcW w:w="1437"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45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以健康理论为基础，以八段锦技能学习及身体素质锻炼为主体，以课外体育活动为补充，全面提高学生职业体能和对体育锻炼的认识。</w:t>
            </w:r>
          </w:p>
        </w:tc>
        <w:tc>
          <w:tcPr>
            <w:tcW w:w="1157"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大学体育（二）、大学体育（三）</w:t>
            </w:r>
          </w:p>
        </w:tc>
        <w:tc>
          <w:tcPr>
            <w:tcW w:w="1437"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本课程是以学生身体练习为主要手段，通过合理的体育教学和科学的体育锻炼，使学生达到增强体质、促进身心健康和提高体育与健康核心素养为主要目标的课程。</w:t>
            </w:r>
          </w:p>
        </w:tc>
        <w:tc>
          <w:tcPr>
            <w:tcW w:w="145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1157"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大学体育（四）</w:t>
            </w:r>
          </w:p>
        </w:tc>
        <w:tc>
          <w:tcPr>
            <w:tcW w:w="1437"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45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以弹跳、速度、柔韧、耐力、力量等身体素质锻炼及立定跳远、引体向上（男）/仰卧起坐（女）、50米、1000米（男）/800米（女）等体质测试为主体，以课外体育活动为补充。</w:t>
            </w:r>
          </w:p>
        </w:tc>
        <w:tc>
          <w:tcPr>
            <w:tcW w:w="1157"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3.考核要求：</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1437"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451"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学习内容由基础模块和拓展模块构成，基础模块包含个人礼仪、沟通礼仪、交往礼仪；拓展模块为求职礼仪。</w:t>
            </w:r>
          </w:p>
        </w:tc>
        <w:tc>
          <w:tcPr>
            <w:tcW w:w="1157"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1.教学形式：混合式教学；</w:t>
            </w:r>
          </w:p>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2.教室要求：多媒体教室；</w:t>
            </w:r>
          </w:p>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3.考核形式：过程性考核100%。</w:t>
            </w:r>
          </w:p>
          <w:p>
            <w:pPr>
              <w:keepNext w:val="0"/>
              <w:keepLines w:val="0"/>
              <w:suppressLineNumbers w:val="0"/>
              <w:spacing w:before="0" w:beforeAutospacing="0" w:after="0" w:afterAutospacing="0" w:line="240" w:lineRule="auto"/>
              <w:ind w:left="0" w:right="0"/>
              <w:rPr>
                <w:rFonts w:hint="eastAsia" w:ascii="仿宋_GB2312" w:hAnsi="仿宋_GB2312" w:eastAsia="仿宋_GB2312" w:cs="仿宋_GB2312"/>
                <w:sz w:val="21"/>
                <w:szCs w:val="21"/>
              </w:rPr>
            </w:pPr>
          </w:p>
          <w:p>
            <w:pPr>
              <w:pStyle w:val="46"/>
              <w:keepNext w:val="0"/>
              <w:keepLines w:val="0"/>
              <w:suppressLineNumbers w:val="0"/>
              <w:spacing w:before="40" w:beforeAutospacing="0" w:after="0" w:afterAutospacing="0" w:line="240" w:lineRule="auto"/>
              <w:ind w:left="0" w:right="57" w:rightChars="0"/>
              <w:jc w:val="both"/>
              <w:rPr>
                <w:rFonts w:hint="eastAsia" w:ascii="仿宋_GB2312" w:hAnsi="仿宋_GB2312" w:eastAsia="仿宋_GB2312" w:cs="仿宋_GB2312"/>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774"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lang w:val="en-US" w:eastAsia="zh-CN"/>
              </w:rPr>
              <w:t>中国优秀传统文化</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w:t>
            </w:r>
            <w:r>
              <w:rPr>
                <w:rFonts w:hint="eastAsia" w:ascii="仿宋_GB2312" w:hAnsi="仿宋_GB2312" w:eastAsia="仿宋_GB2312" w:cs="仿宋_GB2312"/>
                <w:color w:val="auto"/>
                <w:kern w:val="2"/>
                <w:sz w:val="21"/>
                <w:szCs w:val="21"/>
                <w:lang w:val="en-US" w:eastAsia="zh-CN"/>
              </w:rPr>
              <w:t>传统文化基本精神、古文学、建筑、节日文化、茶文化等</w:t>
            </w:r>
            <w:r>
              <w:rPr>
                <w:rFonts w:hint="eastAsia" w:ascii="仿宋_GB2312" w:hAnsi="仿宋_GB2312" w:eastAsia="仿宋_GB2312" w:cs="仿宋_GB2312"/>
                <w:color w:val="auto"/>
                <w:kern w:val="2"/>
                <w:sz w:val="21"/>
                <w:szCs w:val="21"/>
              </w:rPr>
              <w:t>模块；</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lang w:val="en-US" w:eastAsia="zh-CN"/>
              </w:rPr>
              <w:t>地方传统调查及分享</w:t>
            </w:r>
            <w:r>
              <w:rPr>
                <w:rFonts w:hint="eastAsia" w:ascii="仿宋_GB2312" w:hAnsi="仿宋_GB2312" w:eastAsia="仿宋_GB2312" w:cs="仿宋_GB2312"/>
                <w:color w:val="auto"/>
                <w:kern w:val="2"/>
                <w:sz w:val="21"/>
                <w:szCs w:val="21"/>
              </w:rPr>
              <w:t>；</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3.思政元素：</w:t>
            </w:r>
            <w:r>
              <w:rPr>
                <w:rFonts w:hint="eastAsia" w:ascii="仿宋_GB2312" w:hAnsi="仿宋_GB2312" w:eastAsia="仿宋_GB2312" w:cs="仿宋_GB2312"/>
                <w:color w:val="auto"/>
                <w:kern w:val="2"/>
                <w:sz w:val="21"/>
                <w:szCs w:val="21"/>
                <w:lang w:val="en-US" w:eastAsia="zh-CN"/>
              </w:rPr>
              <w:t>爱国、</w:t>
            </w:r>
            <w:r>
              <w:rPr>
                <w:rFonts w:hint="eastAsia" w:ascii="仿宋_GB2312" w:hAnsi="仿宋_GB2312" w:eastAsia="仿宋_GB2312" w:cs="仿宋_GB2312"/>
                <w:color w:val="auto"/>
                <w:kern w:val="2"/>
                <w:sz w:val="21"/>
                <w:szCs w:val="21"/>
              </w:rPr>
              <w:t>正直、善良、自省、自信、立志</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3.考核形式：</w:t>
            </w:r>
            <w:r>
              <w:rPr>
                <w:rFonts w:hint="eastAsia" w:ascii="仿宋_GB2312" w:hAnsi="仿宋_GB2312" w:eastAsia="仿宋_GB2312" w:cs="仿宋_GB2312"/>
                <w:color w:val="auto"/>
                <w:kern w:val="2"/>
                <w:sz w:val="21"/>
                <w:szCs w:val="21"/>
                <w:lang w:val="en-US" w:eastAsia="zh-CN"/>
              </w:rPr>
              <w:t>过程性考核10</w:t>
            </w:r>
            <w:r>
              <w:rPr>
                <w:rFonts w:hint="eastAsia" w:ascii="仿宋_GB2312" w:hAnsi="仿宋_GB2312" w:eastAsia="仿宋_GB2312" w:cs="仿宋_GB2312"/>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应用文写作</w:t>
            </w:r>
          </w:p>
        </w:tc>
        <w:tc>
          <w:tcPr>
            <w:tcW w:w="1437" w:type="pct"/>
            <w:shd w:val="clear" w:color="auto" w:fill="FFFFFF" w:themeFill="background1"/>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lang w:val="en-US" w:eastAsia="zh-CN" w:bidi="ar-SA"/>
              </w:rPr>
              <w:t>通过本课程的学习，掌握应用文写作基础、识和应用文常识、写作格式、写作要求，以及写作方法和技巧。能够根据现实生活、工作中碰到的实际情况，结合所学文种知识，选择相应的文种进行写作。具备良好的规则意识、法律意识、市场意识、竞争意识，养成严谨、规范的工作态度和工作习惯。</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w:t>
            </w:r>
            <w:r>
              <w:rPr>
                <w:rFonts w:hint="eastAsia" w:ascii="仿宋_GB2312" w:hAnsi="仿宋_GB2312" w:eastAsia="仿宋_GB2312" w:cs="仿宋_GB2312"/>
                <w:color w:val="auto"/>
                <w:kern w:val="2"/>
                <w:sz w:val="21"/>
                <w:szCs w:val="21"/>
                <w:lang w:val="en-US" w:eastAsia="zh-CN"/>
              </w:rPr>
              <w:t>公务文书、事务文书、科技文书三</w:t>
            </w:r>
            <w:r>
              <w:rPr>
                <w:rFonts w:hint="eastAsia" w:ascii="仿宋_GB2312" w:hAnsi="仿宋_GB2312" w:eastAsia="仿宋_GB2312" w:cs="仿宋_GB2312"/>
                <w:color w:val="auto"/>
                <w:kern w:val="2"/>
                <w:sz w:val="21"/>
                <w:szCs w:val="21"/>
              </w:rPr>
              <w:t>大模块；</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r>
              <w:rPr>
                <w:rFonts w:hint="eastAsia" w:ascii="仿宋_GB2312" w:hAnsi="仿宋_GB2312" w:eastAsia="仿宋_GB2312" w:cs="仿宋_GB2312"/>
                <w:color w:val="auto"/>
                <w:kern w:val="2"/>
                <w:sz w:val="21"/>
                <w:szCs w:val="21"/>
                <w:lang w:val="en-US" w:eastAsia="zh-CN"/>
              </w:rPr>
              <w:t>调查实践，撰写调查报告</w:t>
            </w:r>
            <w:r>
              <w:rPr>
                <w:rFonts w:hint="eastAsia" w:ascii="仿宋_GB2312" w:hAnsi="仿宋_GB2312" w:eastAsia="仿宋_GB2312" w:cs="仿宋_GB2312"/>
                <w:color w:val="auto"/>
                <w:kern w:val="2"/>
                <w:sz w:val="21"/>
                <w:szCs w:val="21"/>
              </w:rPr>
              <w:t>；</w:t>
            </w:r>
          </w:p>
          <w:p>
            <w:pPr>
              <w:pStyle w:val="4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3.思政元素：</w:t>
            </w:r>
            <w:r>
              <w:rPr>
                <w:rFonts w:hint="eastAsia" w:ascii="仿宋_GB2312" w:hAnsi="仿宋_GB2312" w:eastAsia="仿宋_GB2312" w:cs="仿宋_GB2312"/>
                <w:color w:val="auto"/>
                <w:kern w:val="2"/>
                <w:sz w:val="21"/>
                <w:szCs w:val="21"/>
                <w:lang w:val="en-US" w:eastAsia="zh-CN"/>
              </w:rPr>
              <w:t>合作、协作、严谨、规范</w:t>
            </w:r>
            <w:r>
              <w:rPr>
                <w:rFonts w:hint="eastAsia" w:ascii="仿宋_GB2312" w:hAnsi="仿宋_GB2312" w:eastAsia="仿宋_GB2312" w:cs="仿宋_GB2312"/>
                <w:color w:val="auto"/>
                <w:kern w:val="2"/>
                <w:sz w:val="21"/>
                <w:szCs w:val="21"/>
              </w:rPr>
              <w:t>。</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3.考核形式：平时考核</w:t>
            </w:r>
            <w:r>
              <w:rPr>
                <w:rFonts w:hint="eastAsia" w:ascii="仿宋_GB2312" w:hAnsi="仿宋_GB2312" w:eastAsia="仿宋_GB2312" w:cs="仿宋_GB2312"/>
                <w:color w:val="auto"/>
                <w:kern w:val="2"/>
                <w:sz w:val="21"/>
                <w:szCs w:val="21"/>
                <w:lang w:val="en-US" w:eastAsia="zh-CN"/>
              </w:rPr>
              <w:t>6</w:t>
            </w:r>
            <w:r>
              <w:rPr>
                <w:rFonts w:hint="eastAsia" w:ascii="仿宋_GB2312" w:hAnsi="仿宋_GB2312" w:eastAsia="仿宋_GB2312" w:cs="仿宋_GB2312"/>
                <w:color w:val="auto"/>
                <w:kern w:val="2"/>
                <w:sz w:val="21"/>
                <w:szCs w:val="21"/>
              </w:rPr>
              <w:t>0%，期末考核成绩</w:t>
            </w:r>
            <w:r>
              <w:rPr>
                <w:rFonts w:hint="eastAsia" w:ascii="仿宋_GB2312" w:hAnsi="仿宋_GB2312" w:eastAsia="仿宋_GB2312" w:cs="仿宋_GB2312"/>
                <w:color w:val="auto"/>
                <w:kern w:val="2"/>
                <w:sz w:val="21"/>
                <w:szCs w:val="21"/>
                <w:lang w:val="en-US" w:eastAsia="zh-CN"/>
              </w:rPr>
              <w:t>4</w:t>
            </w:r>
            <w:r>
              <w:rPr>
                <w:rFonts w:hint="eastAsia" w:ascii="仿宋_GB2312" w:hAnsi="仿宋_GB2312" w:eastAsia="仿宋_GB2312" w:cs="仿宋_GB2312"/>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仿宋_GB2312" w:hAnsi="仿宋_GB2312" w:eastAsia="仿宋_GB2312" w:cs="仿宋_GB2312"/>
                <w:kern w:val="0"/>
                <w:sz w:val="21"/>
                <w:szCs w:val="21"/>
                <w:highlight w:val="none"/>
                <w:lang w:val="en-US" w:eastAsia="zh-CN" w:bidi="ar"/>
              </w:rPr>
              <w:t>19</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通过本课程的学习，能根据具体的语言环境理解语言，能整体感知和领会文本，理解文本的思想内容、常见写作手法及语言表现力。能根据学习、生活和职业工作需要</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准确无误</w:t>
            </w:r>
            <w:r>
              <w:rPr>
                <w:rFonts w:hint="eastAsia" w:ascii="仿宋_GB2312" w:hAnsi="仿宋_GB2312" w:eastAsia="仿宋_GB2312" w:cs="仿宋_GB2312"/>
                <w:color w:val="auto"/>
                <w:kern w:val="2"/>
                <w:sz w:val="21"/>
                <w:szCs w:val="21"/>
              </w:rPr>
              <w:t>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w:t>
            </w:r>
            <w:r>
              <w:rPr>
                <w:rFonts w:hint="eastAsia" w:ascii="仿宋_GB2312" w:hAnsi="仿宋_GB2312" w:eastAsia="仿宋_GB2312" w:cs="仿宋_GB2312"/>
                <w:color w:val="auto"/>
                <w:kern w:val="2"/>
                <w:sz w:val="21"/>
                <w:szCs w:val="21"/>
                <w:lang w:val="en-US" w:eastAsia="zh-CN"/>
              </w:rPr>
              <w:t>演讲能力</w:t>
            </w:r>
            <w:r>
              <w:rPr>
                <w:rFonts w:hint="eastAsia" w:ascii="仿宋_GB2312" w:hAnsi="仿宋_GB2312" w:eastAsia="仿宋_GB2312" w:cs="仿宋_GB2312"/>
                <w:color w:val="auto"/>
                <w:kern w:val="2"/>
                <w:sz w:val="21"/>
                <w:szCs w:val="21"/>
              </w:rPr>
              <w:t>训练、</w:t>
            </w:r>
            <w:r>
              <w:rPr>
                <w:rFonts w:hint="eastAsia" w:ascii="仿宋_GB2312" w:hAnsi="仿宋_GB2312" w:eastAsia="仿宋_GB2312" w:cs="仿宋_GB2312"/>
                <w:color w:val="auto"/>
                <w:kern w:val="2"/>
                <w:sz w:val="21"/>
                <w:szCs w:val="21"/>
                <w:lang w:val="en-US" w:eastAsia="zh-CN"/>
              </w:rPr>
              <w:t>科技应用文</w:t>
            </w:r>
            <w:r>
              <w:rPr>
                <w:rFonts w:hint="eastAsia" w:ascii="仿宋_GB2312" w:hAnsi="仿宋_GB2312" w:eastAsia="仿宋_GB2312" w:cs="仿宋_GB2312"/>
                <w:color w:val="auto"/>
                <w:kern w:val="2"/>
                <w:sz w:val="21"/>
                <w:szCs w:val="21"/>
              </w:rPr>
              <w:t>三大模块；</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w:t>
            </w:r>
            <w:r>
              <w:rPr>
                <w:rFonts w:hint="eastAsia" w:ascii="仿宋_GB2312" w:hAnsi="仿宋_GB2312" w:eastAsia="仿宋_GB2312" w:cs="仿宋_GB2312"/>
                <w:color w:val="auto"/>
                <w:kern w:val="2"/>
                <w:sz w:val="21"/>
                <w:szCs w:val="21"/>
                <w:lang w:val="en-US" w:eastAsia="zh-CN"/>
              </w:rPr>
              <w:t>职业畅想</w:t>
            </w:r>
            <w:r>
              <w:rPr>
                <w:rFonts w:hint="eastAsia" w:ascii="仿宋_GB2312" w:hAnsi="仿宋_GB2312" w:eastAsia="仿宋_GB2312" w:cs="仿宋_GB2312"/>
                <w:color w:val="auto"/>
                <w:kern w:val="2"/>
                <w:sz w:val="21"/>
                <w:szCs w:val="21"/>
              </w:rPr>
              <w:t>主题演讲；</w:t>
            </w:r>
          </w:p>
          <w:p>
            <w:pPr>
              <w:pStyle w:val="4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3.思政元素：文化传承、家国情怀、</w:t>
            </w:r>
            <w:r>
              <w:rPr>
                <w:rFonts w:hint="eastAsia" w:ascii="仿宋_GB2312" w:hAnsi="仿宋_GB2312" w:eastAsia="仿宋_GB2312" w:cs="仿宋_GB2312"/>
                <w:color w:val="auto"/>
                <w:kern w:val="2"/>
                <w:sz w:val="21"/>
                <w:szCs w:val="21"/>
                <w:lang w:val="en-US" w:eastAsia="zh-CN"/>
              </w:rPr>
              <w:t>工匠精神、世事洞明、</w:t>
            </w:r>
            <w:r>
              <w:rPr>
                <w:rFonts w:hint="eastAsia" w:ascii="仿宋_GB2312" w:hAnsi="仿宋_GB2312" w:eastAsia="仿宋_GB2312" w:cs="仿宋_GB2312"/>
                <w:color w:val="auto"/>
                <w:kern w:val="2"/>
                <w:sz w:val="21"/>
                <w:szCs w:val="21"/>
              </w:rPr>
              <w:t>文体章成。</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3.考核形式：平时考核</w:t>
            </w:r>
            <w:r>
              <w:rPr>
                <w:rFonts w:hint="eastAsia" w:ascii="仿宋_GB2312" w:hAnsi="仿宋_GB2312" w:eastAsia="仿宋_GB2312" w:cs="仿宋_GB2312"/>
                <w:color w:val="auto"/>
                <w:kern w:val="2"/>
                <w:sz w:val="21"/>
                <w:szCs w:val="21"/>
                <w:lang w:val="en-US" w:eastAsia="zh-CN"/>
              </w:rPr>
              <w:t>6</w:t>
            </w:r>
            <w:r>
              <w:rPr>
                <w:rFonts w:hint="eastAsia" w:ascii="仿宋_GB2312" w:hAnsi="仿宋_GB2312" w:eastAsia="仿宋_GB2312" w:cs="仿宋_GB2312"/>
                <w:color w:val="auto"/>
                <w:kern w:val="2"/>
                <w:sz w:val="21"/>
                <w:szCs w:val="21"/>
              </w:rPr>
              <w:t>0%，期末考核成绩</w:t>
            </w:r>
            <w:r>
              <w:rPr>
                <w:rFonts w:hint="eastAsia" w:ascii="仿宋_GB2312" w:hAnsi="仿宋_GB2312" w:eastAsia="仿宋_GB2312" w:cs="仿宋_GB2312"/>
                <w:color w:val="auto"/>
                <w:kern w:val="2"/>
                <w:sz w:val="21"/>
                <w:szCs w:val="21"/>
                <w:lang w:val="en-US" w:eastAsia="zh-CN"/>
              </w:rPr>
              <w:t>4</w:t>
            </w:r>
            <w:r>
              <w:rPr>
                <w:rFonts w:hint="eastAsia" w:ascii="仿宋_GB2312" w:hAnsi="仿宋_GB2312" w:eastAsia="仿宋_GB2312" w:cs="仿宋_GB2312"/>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lang w:bidi="ar"/>
              </w:rPr>
            </w:pPr>
            <w:r>
              <w:rPr>
                <w:rFonts w:hint="eastAsia" w:ascii="仿宋_GB2312" w:hAnsi="仿宋_GB2312" w:eastAsia="仿宋_GB2312" w:cs="仿宋_GB2312"/>
                <w:kern w:val="0"/>
                <w:sz w:val="21"/>
                <w:szCs w:val="21"/>
                <w:highlight w:val="none"/>
                <w:lang w:val="en-US" w:eastAsia="zh-CN" w:bidi="ar"/>
              </w:rPr>
              <w:t>20</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auto"/>
                <w:kern w:val="0"/>
                <w:sz w:val="21"/>
                <w:szCs w:val="21"/>
                <w:u w:val="none"/>
                <w:lang w:val="en-US" w:eastAsia="zh-CN" w:bidi="ar"/>
              </w:rPr>
              <w:t>经济数学</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lang w:val="en-US" w:eastAsia="zh-CN"/>
              </w:rPr>
              <w:t>1.理论部分：</w:t>
            </w:r>
            <w:r>
              <w:rPr>
                <w:rFonts w:hint="eastAsia" w:ascii="仿宋_GB2312" w:hAnsi="仿宋_GB2312" w:eastAsia="仿宋_GB2312" w:cs="仿宋_GB2312"/>
                <w:color w:val="auto"/>
                <w:kern w:val="2"/>
                <w:sz w:val="21"/>
                <w:szCs w:val="21"/>
              </w:rPr>
              <w:t>函数概念、运算及经济学中常用的经济函数，极限概念、运算法则和第二重要极限公式及其应用，导数概念、公式、运算法则，边际分析，最值问题，弹性分析</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不定积分、定积分和定积分的应用、微分方程</w:t>
            </w:r>
            <w:r>
              <w:rPr>
                <w:rFonts w:hint="eastAsia" w:ascii="仿宋_GB2312" w:hAnsi="仿宋_GB2312" w:eastAsia="仿宋_GB2312" w:cs="仿宋_GB2312"/>
                <w:color w:val="auto"/>
                <w:kern w:val="2"/>
                <w:sz w:val="21"/>
                <w:szCs w:val="21"/>
              </w:rPr>
              <w:t>等。</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rPr>
              <w:t>2.实践部分：软件计算函数极限、导数</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rPr>
              <w:t>积分</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微分方程</w:t>
            </w:r>
            <w:r>
              <w:rPr>
                <w:rFonts w:hint="eastAsia" w:ascii="仿宋_GB2312" w:hAnsi="仿宋_GB2312" w:eastAsia="仿宋_GB2312" w:cs="仿宋_GB2312"/>
                <w:color w:val="auto"/>
                <w:kern w:val="2"/>
                <w:sz w:val="21"/>
                <w:szCs w:val="21"/>
              </w:rPr>
              <w:t>等。</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lang w:bidi="ar"/>
              </w:rPr>
            </w:pPr>
            <w:r>
              <w:rPr>
                <w:rFonts w:hint="eastAsia" w:ascii="仿宋_GB2312" w:hAnsi="仿宋_GB2312" w:eastAsia="仿宋_GB2312" w:cs="仿宋_GB2312"/>
                <w:kern w:val="0"/>
                <w:sz w:val="21"/>
                <w:szCs w:val="21"/>
                <w:highlight w:val="none"/>
                <w:lang w:val="en-US" w:eastAsia="zh-CN" w:bidi="ar"/>
              </w:rPr>
              <w:t>21</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auto"/>
                <w:kern w:val="0"/>
                <w:sz w:val="21"/>
                <w:szCs w:val="21"/>
                <w:u w:val="none"/>
                <w:lang w:val="en-US" w:eastAsia="zh-CN" w:bidi="ar"/>
              </w:rPr>
              <w:t>高等数学</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lang w:val="en-US" w:eastAsia="zh-CN"/>
              </w:rPr>
              <w:t>应用，微分，微分中值定理</w:t>
            </w:r>
            <w:r>
              <w:rPr>
                <w:rFonts w:hint="eastAsia" w:ascii="仿宋_GB2312" w:hAnsi="仿宋_GB2312" w:eastAsia="仿宋_GB2312" w:cs="仿宋_GB2312"/>
                <w:color w:val="auto"/>
                <w:kern w:val="2"/>
                <w:sz w:val="21"/>
                <w:szCs w:val="21"/>
              </w:rPr>
              <w:t>微分</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rPr>
              <w:t>曲率</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不定积分，定积分和定积分的应用，微分方程，向量代数与空间解析几何，多元函数微分学及其应用，重积分和无穷级数</w:t>
            </w:r>
            <w:r>
              <w:rPr>
                <w:rFonts w:hint="eastAsia" w:ascii="仿宋_GB2312" w:hAnsi="仿宋_GB2312" w:eastAsia="仿宋_GB2312" w:cs="仿宋_GB2312"/>
                <w:color w:val="auto"/>
                <w:kern w:val="2"/>
                <w:sz w:val="21"/>
                <w:szCs w:val="21"/>
              </w:rPr>
              <w:t>等；</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2.实践部分：软件制图，软件计算函数极限、导数</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rPr>
              <w:t>积分</w:t>
            </w:r>
            <w:r>
              <w:rPr>
                <w:rFonts w:hint="eastAsia" w:ascii="仿宋_GB2312" w:hAnsi="仿宋_GB2312" w:eastAsia="仿宋_GB2312" w:cs="仿宋_GB2312"/>
                <w:color w:val="auto"/>
                <w:kern w:val="2"/>
                <w:sz w:val="21"/>
                <w:szCs w:val="21"/>
                <w:lang w:eastAsia="zh-CN"/>
              </w:rPr>
              <w:t>、</w:t>
            </w:r>
            <w:r>
              <w:rPr>
                <w:rFonts w:hint="eastAsia" w:ascii="仿宋_GB2312" w:hAnsi="仿宋_GB2312" w:eastAsia="仿宋_GB2312" w:cs="仿宋_GB2312"/>
                <w:color w:val="auto"/>
                <w:kern w:val="2"/>
                <w:sz w:val="21"/>
                <w:szCs w:val="21"/>
                <w:lang w:val="en-US" w:eastAsia="zh-CN"/>
              </w:rPr>
              <w:t>微分方程、偏导数、重积分、级数</w:t>
            </w:r>
            <w:r>
              <w:rPr>
                <w:rFonts w:hint="eastAsia" w:ascii="仿宋_GB2312" w:hAnsi="仿宋_GB2312" w:eastAsia="仿宋_GB2312" w:cs="仿宋_GB2312"/>
                <w:color w:val="auto"/>
                <w:kern w:val="2"/>
                <w:sz w:val="21"/>
                <w:szCs w:val="21"/>
              </w:rPr>
              <w:t>等。</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lang w:bidi="ar"/>
              </w:rPr>
            </w:pPr>
            <w:r>
              <w:rPr>
                <w:rFonts w:hint="eastAsia" w:ascii="仿宋_GB2312" w:hAnsi="仿宋_GB2312" w:eastAsia="仿宋_GB2312" w:cs="仿宋_GB2312"/>
                <w:kern w:val="0"/>
                <w:sz w:val="21"/>
                <w:szCs w:val="21"/>
                <w:highlight w:val="none"/>
                <w:lang w:val="en-US" w:eastAsia="zh-CN" w:bidi="ar"/>
              </w:rPr>
              <w:t>22</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线性代数</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lang w:bidi="ar"/>
              </w:rPr>
            </w:pPr>
            <w:r>
              <w:rPr>
                <w:rFonts w:hint="eastAsia" w:ascii="仿宋_GB2312" w:hAnsi="仿宋_GB2312" w:cs="仿宋_GB2312"/>
                <w:kern w:val="0"/>
                <w:sz w:val="21"/>
                <w:szCs w:val="21"/>
                <w:highlight w:val="none"/>
                <w:lang w:val="en-US" w:eastAsia="zh-CN" w:bidi="ar"/>
              </w:rPr>
              <w:t>23</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概率论与数理统计</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概率统计知识，掌握随机现象建模与数据分析的基本思想方法，具备必要的概率计算、统计推断及软件应用技能，使学生具备较强的抽象思维与量化分析能力，提高学生利用概率统计工具解决不确定性决策与数据处理类实际问题的能力，培养学生的创新精神和严谨求实的科学精神。</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随机事件与概率，包括事件的关系与运算、概率的定义与性质、条件概率与独立性；一维和多维随机变量及其分布，常见分布类型；随机变量的数字特征，如数学期望、方差、协方差和相关系数；大数定律与中心极限定理；数理统计的基本概念，参数估计的方法，假设检验的基本思想；</w:t>
            </w:r>
          </w:p>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2.实践部分：运用统计软件（如 Excel、SPSS等）进行数据的收集、整理与分析，包括数据的描述性统计、参数估计和假设检验等实际操作。通过实践环节加深对理论知识的理解，提高学生解决实际问题的能力。</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lang w:val="en-US" w:eastAsia="zh-CN" w:bidi="ar"/>
              </w:rPr>
            </w:pPr>
            <w:r>
              <w:rPr>
                <w:rFonts w:hint="eastAsia" w:ascii="仿宋_GB2312" w:hAnsi="仿宋_GB2312" w:cs="仿宋_GB2312"/>
                <w:kern w:val="0"/>
                <w:sz w:val="21"/>
                <w:szCs w:val="21"/>
                <w:lang w:val="en-US" w:eastAsia="zh-CN" w:bidi="ar"/>
              </w:rPr>
              <w:t>24</w:t>
            </w:r>
          </w:p>
        </w:tc>
        <w:tc>
          <w:tcPr>
            <w:tcW w:w="692"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i w:val="0"/>
                <w:iCs w:val="0"/>
                <w:color w:val="000000"/>
                <w:kern w:val="0"/>
                <w:sz w:val="21"/>
                <w:szCs w:val="21"/>
                <w:u w:val="none"/>
                <w:lang w:val="en-US" w:eastAsia="zh-CN" w:bidi="ar"/>
              </w:rPr>
              <w:t>离散数学</w:t>
            </w:r>
          </w:p>
        </w:tc>
        <w:tc>
          <w:tcPr>
            <w:tcW w:w="1437"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离散数学核心知识，掌握逻辑推理、离散结构建模与算法分析的基本思想方法，具备必要的形式化描述与组合计算技能，使学生具备较强的抽象思维与严谨的逻辑论证能力，提高学生利用离散工具解决计算机科学中逻辑验证、结构优化与信息处理类实际问题的能力，培养学生的创新精神和科学计算素养。</w:t>
            </w:r>
          </w:p>
        </w:tc>
        <w:tc>
          <w:tcPr>
            <w:tcW w:w="1451"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rPr>
              <w:t>逻辑部分涵盖命题逻辑和谓词逻辑的基本概念、公式及推理规则；集合论讲解集合运算、关系和函数及其性质；图论包括图的表示、路径问题、图的连通性、树、图的遍历等内容；代数系统介绍代数结构的基本概念及群、环、域等常见代数系统；组合数学涵盖排列组合、鸽巢原理、容斥原理等。</w:t>
            </w:r>
          </w:p>
        </w:tc>
        <w:tc>
          <w:tcPr>
            <w:tcW w:w="1157"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25</w:t>
            </w:r>
          </w:p>
        </w:tc>
        <w:tc>
          <w:tcPr>
            <w:tcW w:w="692"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3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45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57" w:type="pct"/>
            <w:shd w:val="clear" w:color="auto" w:fill="FFFFFF" w:themeFill="background1"/>
            <w:vAlign w:val="center"/>
          </w:tcPr>
          <w:p>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26</w:t>
            </w:r>
          </w:p>
        </w:tc>
        <w:tc>
          <w:tcPr>
            <w:tcW w:w="692"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3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45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5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1.教学形式：线上、线下混合式教学。</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27</w:t>
            </w:r>
          </w:p>
        </w:tc>
        <w:tc>
          <w:tcPr>
            <w:tcW w:w="692"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3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45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5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261"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28</w:t>
            </w:r>
          </w:p>
        </w:tc>
        <w:tc>
          <w:tcPr>
            <w:tcW w:w="692"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3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451"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1157"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pPr>
        <w:pStyle w:val="7"/>
        <w:rPr>
          <w:rFonts w:hint="eastAsia" w:ascii="仿宋" w:hAnsi="仿宋" w:eastAsia="仿宋" w:cs="仿宋"/>
          <w:sz w:val="30"/>
          <w:szCs w:val="30"/>
        </w:rPr>
      </w:pPr>
      <w:r>
        <w:rPr>
          <w:rFonts w:hint="eastAsia" w:ascii="仿宋" w:hAnsi="仿宋" w:eastAsia="仿宋" w:cs="仿宋"/>
          <w:sz w:val="30"/>
          <w:szCs w:val="30"/>
        </w:rPr>
        <w:t>2.专业</w:t>
      </w:r>
      <w:r>
        <w:rPr>
          <w:rFonts w:hint="eastAsia" w:ascii="仿宋" w:hAnsi="仿宋" w:eastAsia="仿宋" w:cs="仿宋"/>
          <w:sz w:val="30"/>
          <w:szCs w:val="30"/>
          <w:lang w:val="en-US" w:eastAsia="zh-CN"/>
        </w:rPr>
        <w:t>教育</w:t>
      </w:r>
      <w:r>
        <w:rPr>
          <w:rFonts w:hint="eastAsia" w:ascii="仿宋" w:hAnsi="仿宋" w:eastAsia="仿宋" w:cs="仿宋"/>
          <w:sz w:val="30"/>
          <w:szCs w:val="30"/>
        </w:rPr>
        <w:t>课程设置</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（1）专业对应的职业/岗位分析</w:t>
      </w:r>
    </w:p>
    <w:p>
      <w:pPr>
        <w:pStyle w:val="25"/>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pPr>
    </w:p>
    <w:p>
      <w:pPr>
        <w:pStyle w:val="7"/>
        <w:jc w:val="center"/>
        <w:rPr>
          <w:rFonts w:hint="eastAsia" w:ascii="仿宋" w:hAnsi="仿宋" w:eastAsia="仿宋" w:cs="仿宋"/>
          <w:b/>
          <w:bCs/>
          <w:sz w:val="24"/>
          <w:szCs w:val="24"/>
        </w:rPr>
        <w:sectPr>
          <w:pgSz w:w="11906" w:h="16838"/>
          <w:pgMar w:top="1440" w:right="1803" w:bottom="1440" w:left="1803" w:header="851" w:footer="992" w:gutter="0"/>
          <w:pgNumType w:fmt="decimal"/>
          <w:cols w:space="0" w:num="1"/>
          <w:docGrid w:type="lines" w:linePitch="319" w:charSpace="0"/>
        </w:sectPr>
      </w:pP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（2）主要设置的专业</w:t>
      </w:r>
      <w:r>
        <w:rPr>
          <w:rFonts w:hint="eastAsia" w:ascii="仿宋" w:hAnsi="仿宋" w:eastAsia="仿宋" w:cs="仿宋"/>
          <w:sz w:val="28"/>
          <w:szCs w:val="28"/>
          <w:lang w:val="en-US" w:eastAsia="zh-CN"/>
        </w:rPr>
        <w:t>教育</w:t>
      </w:r>
      <w:r>
        <w:rPr>
          <w:rFonts w:hint="eastAsia" w:ascii="仿宋" w:hAnsi="仿宋" w:eastAsia="仿宋" w:cs="仿宋"/>
          <w:sz w:val="28"/>
          <w:szCs w:val="28"/>
        </w:rPr>
        <w:t>课程</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3</w:t>
      </w:r>
      <w:r>
        <w:rPr>
          <w:rFonts w:hint="eastAsia" w:ascii="仿宋" w:hAnsi="仿宋" w:eastAsia="仿宋" w:cs="仿宋"/>
          <w:b/>
          <w:bCs/>
          <w:sz w:val="24"/>
          <w:szCs w:val="24"/>
        </w:rPr>
        <w:t xml:space="preserve"> 专业核心课程描述</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2"/>
        <w:gridCol w:w="1280"/>
        <w:gridCol w:w="5330"/>
        <w:gridCol w:w="3890"/>
        <w:gridCol w:w="2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jc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280" w:type="dxa"/>
            <w:vAlign w:val="center"/>
          </w:tcPr>
          <w:p>
            <w:pPr>
              <w:jc w:val="center"/>
              <w:rPr>
                <w:rFonts w:hint="eastAsia" w:ascii="宋体" w:hAnsi="宋体" w:eastAsia="宋体" w:cs="宋体"/>
                <w:b/>
                <w:bCs/>
                <w:sz w:val="21"/>
                <w:szCs w:val="21"/>
              </w:rPr>
            </w:pPr>
            <w:r>
              <w:rPr>
                <w:rFonts w:hint="eastAsia" w:ascii="宋体" w:hAnsi="宋体" w:eastAsia="宋体" w:cs="宋体"/>
                <w:b/>
                <w:bCs/>
                <w:sz w:val="21"/>
                <w:szCs w:val="21"/>
              </w:rPr>
              <w:t>课程名称</w:t>
            </w:r>
          </w:p>
        </w:tc>
        <w:tc>
          <w:tcPr>
            <w:tcW w:w="5330" w:type="dxa"/>
            <w:vAlign w:val="center"/>
          </w:tcPr>
          <w:p>
            <w:pPr>
              <w:jc w:val="center"/>
              <w:rPr>
                <w:rFonts w:hint="eastAsia" w:ascii="宋体" w:hAnsi="宋体" w:eastAsia="宋体" w:cs="宋体"/>
                <w:b/>
                <w:bCs/>
                <w:sz w:val="21"/>
                <w:szCs w:val="21"/>
              </w:rPr>
            </w:pPr>
            <w:r>
              <w:rPr>
                <w:rFonts w:hint="eastAsia" w:ascii="宋体" w:hAnsi="宋体" w:eastAsia="宋体" w:cs="宋体"/>
                <w:b/>
                <w:bCs/>
                <w:sz w:val="21"/>
                <w:szCs w:val="21"/>
              </w:rPr>
              <w:t>课程目标</w:t>
            </w:r>
          </w:p>
        </w:tc>
        <w:tc>
          <w:tcPr>
            <w:tcW w:w="3890" w:type="dxa"/>
            <w:vAlign w:val="center"/>
          </w:tcPr>
          <w:p>
            <w:pPr>
              <w:jc w:val="center"/>
              <w:rPr>
                <w:rFonts w:hint="eastAsia" w:ascii="宋体" w:hAnsi="宋体" w:eastAsia="宋体" w:cs="宋体"/>
                <w:b/>
                <w:bCs/>
                <w:sz w:val="21"/>
                <w:szCs w:val="21"/>
              </w:rPr>
            </w:pPr>
            <w:r>
              <w:rPr>
                <w:rFonts w:hint="eastAsia" w:ascii="宋体" w:hAnsi="宋体" w:eastAsia="宋体" w:cs="宋体"/>
                <w:b/>
                <w:bCs/>
                <w:sz w:val="21"/>
                <w:szCs w:val="21"/>
              </w:rPr>
              <w:t>主要内容</w:t>
            </w:r>
          </w:p>
        </w:tc>
        <w:tc>
          <w:tcPr>
            <w:tcW w:w="2682" w:type="dxa"/>
            <w:vAlign w:val="center"/>
          </w:tcPr>
          <w:p>
            <w:pPr>
              <w:jc w:val="center"/>
              <w:rPr>
                <w:rFonts w:hint="eastAsia" w:ascii="宋体" w:hAnsi="宋体" w:eastAsia="宋体" w:cs="宋体"/>
                <w:b/>
                <w:bCs/>
                <w:sz w:val="21"/>
                <w:szCs w:val="21"/>
              </w:rPr>
            </w:pPr>
            <w:r>
              <w:rPr>
                <w:rFonts w:hint="eastAsia" w:ascii="宋体" w:hAnsi="宋体" w:eastAsia="宋体" w:cs="宋体"/>
                <w:b/>
                <w:bCs/>
                <w:sz w:val="21"/>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w:t>
            </w:r>
          </w:p>
        </w:tc>
        <w:tc>
          <w:tcPr>
            <w:tcW w:w="128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数字化设计与仿真(企业)</w:t>
            </w:r>
          </w:p>
        </w:tc>
        <w:tc>
          <w:tcPr>
            <w:tcW w:w="533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以实际工作任务为驱动，设计以实际工作过程为导向的典型产品结构设计与制造的教学活动，训练和提高综合运用产品功能设定、产品材料设计选定和机械产品结构设计的能力。能运用软件进行产品的三维建模、装配及仿真，为未来从事专业方面的实际工作奠定能力基础。</w:t>
            </w:r>
          </w:p>
        </w:tc>
        <w:tc>
          <w:tcPr>
            <w:tcW w:w="389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本课程依据</w:t>
            </w:r>
            <w:r>
              <w:rPr>
                <w:rFonts w:hint="eastAsia" w:ascii="仿宋_GB2312" w:hAnsi="仿宋_GB2312" w:eastAsia="仿宋_GB2312" w:cs="仿宋_GB2312"/>
                <w:sz w:val="21"/>
                <w:szCs w:val="21"/>
                <w:lang w:val="en-US" w:eastAsia="zh-CN"/>
              </w:rPr>
              <w:t>应用型本科</w:t>
            </w:r>
            <w:r>
              <w:rPr>
                <w:rFonts w:hint="eastAsia" w:ascii="仿宋_GB2312" w:hAnsi="仿宋_GB2312" w:eastAsia="仿宋_GB2312" w:cs="仿宋_GB2312"/>
                <w:sz w:val="21"/>
                <w:szCs w:val="21"/>
              </w:rPr>
              <w:t>学生的特点和认知规律，设计了循序渐进由浅入深的教学项目。教学项目建议采用：</w:t>
            </w:r>
            <w:r>
              <w:rPr>
                <w:rFonts w:hint="eastAsia" w:ascii="仿宋_GB2312" w:hAnsi="仿宋_GB2312" w:eastAsia="仿宋_GB2312" w:cs="仿宋_GB2312"/>
                <w:sz w:val="21"/>
                <w:szCs w:val="21"/>
                <w:lang w:val="en-US" w:eastAsia="zh-CN"/>
              </w:rPr>
              <w:t>UG NX草图设计</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UG NX系统环境与基本设置</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基准特征与模型测量</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建模基础、装配设计、工程图设计及机构运动仿真</w:t>
            </w:r>
            <w:r>
              <w:rPr>
                <w:rFonts w:hint="eastAsia" w:ascii="仿宋_GB2312" w:hAnsi="仿宋_GB2312" w:eastAsia="仿宋_GB2312" w:cs="仿宋_GB2312"/>
                <w:sz w:val="21"/>
                <w:szCs w:val="21"/>
              </w:rPr>
              <w:t>等</w:t>
            </w:r>
            <w:r>
              <w:rPr>
                <w:rFonts w:hint="eastAsia" w:ascii="仿宋_GB2312" w:hAnsi="仿宋_GB2312" w:eastAsia="仿宋_GB2312" w:cs="仿宋_GB2312"/>
                <w:sz w:val="21"/>
                <w:szCs w:val="21"/>
                <w:lang w:val="en-US" w:eastAsia="zh-CN"/>
              </w:rPr>
              <w:t>项目</w:t>
            </w:r>
            <w:r>
              <w:rPr>
                <w:rFonts w:hint="eastAsia" w:ascii="仿宋_GB2312" w:hAnsi="仿宋_GB2312" w:eastAsia="仿宋_GB2312" w:cs="仿宋_GB2312"/>
                <w:sz w:val="21"/>
                <w:szCs w:val="21"/>
              </w:rPr>
              <w:t>，以实现</w:t>
            </w:r>
            <w:r>
              <w:rPr>
                <w:rFonts w:hint="eastAsia" w:ascii="仿宋_GB2312" w:hAnsi="仿宋_GB2312" w:eastAsia="仿宋_GB2312" w:cs="仿宋_GB2312"/>
                <w:sz w:val="21"/>
                <w:szCs w:val="21"/>
                <w:lang w:val="en-US" w:eastAsia="zh-CN"/>
              </w:rPr>
              <w:t>三维建模的草图绘制、特征生成</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零件绘制</w:t>
            </w:r>
            <w:r>
              <w:rPr>
                <w:rFonts w:hint="eastAsia" w:ascii="仿宋_GB2312" w:hAnsi="仿宋_GB2312" w:eastAsia="仿宋_GB2312" w:cs="仿宋_GB2312"/>
                <w:sz w:val="21"/>
                <w:szCs w:val="21"/>
              </w:rPr>
              <w:t>、</w:t>
            </w:r>
            <w:r>
              <w:rPr>
                <w:rFonts w:hint="eastAsia" w:ascii="仿宋_GB2312" w:hAnsi="仿宋_GB2312" w:eastAsia="仿宋_GB2312" w:cs="仿宋_GB2312"/>
                <w:sz w:val="21"/>
                <w:szCs w:val="21"/>
                <w:lang w:val="en-US" w:eastAsia="zh-CN"/>
              </w:rPr>
              <w:t>装配设计、运动仿真和工程图生成等</w:t>
            </w:r>
            <w:r>
              <w:rPr>
                <w:rFonts w:hint="eastAsia" w:ascii="仿宋_GB2312" w:hAnsi="仿宋_GB2312" w:eastAsia="仿宋_GB2312" w:cs="仿宋_GB2312"/>
                <w:sz w:val="21"/>
                <w:szCs w:val="21"/>
              </w:rPr>
              <w:t>阶梯式学习内容。</w:t>
            </w:r>
          </w:p>
        </w:tc>
        <w:tc>
          <w:tcPr>
            <w:tcW w:w="2682"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1.教学形式：混合式授课</w:t>
            </w:r>
            <w:r>
              <w:rPr>
                <w:rFonts w:hint="eastAsia" w:ascii="仿宋_GB2312" w:hAnsi="仿宋_GB2312" w:eastAsia="仿宋_GB2312" w:cs="仿宋_GB2312"/>
                <w:sz w:val="21"/>
                <w:szCs w:val="21"/>
                <w:lang w:eastAsia="zh-CN"/>
              </w:rPr>
              <w:t>。</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w:t>
            </w:r>
            <w:r>
              <w:rPr>
                <w:rFonts w:hint="eastAsia" w:ascii="仿宋_GB2312" w:hAnsi="仿宋_GB2312" w:eastAsia="仿宋_GB2312" w:cs="仿宋_GB2312"/>
                <w:sz w:val="21"/>
                <w:szCs w:val="21"/>
                <w:lang w:val="en-US" w:eastAsia="zh-CN"/>
              </w:rPr>
              <w:t>机房。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 xml:space="preserve">3.考核要求：平时考核 </w:t>
            </w:r>
            <w:r>
              <w:rPr>
                <w:rFonts w:hint="eastAsia" w:ascii="仿宋_GB2312" w:hAnsi="仿宋_GB2312" w:eastAsia="仿宋_GB2312" w:cs="仿宋_GB2312"/>
                <w:sz w:val="21"/>
                <w:szCs w:val="21"/>
                <w:lang w:val="en-US" w:eastAsia="zh-CN"/>
              </w:rPr>
              <w:t>5</w:t>
            </w:r>
            <w:r>
              <w:rPr>
                <w:rFonts w:hint="eastAsia" w:ascii="仿宋_GB2312" w:hAnsi="仿宋_GB2312" w:eastAsia="仿宋_GB2312" w:cs="仿宋_GB2312"/>
                <w:sz w:val="21"/>
                <w:szCs w:val="21"/>
              </w:rPr>
              <w:t>0%，期末</w:t>
            </w:r>
            <w:r>
              <w:rPr>
                <w:rFonts w:hint="eastAsia" w:ascii="仿宋_GB2312" w:hAnsi="仿宋_GB2312" w:eastAsia="仿宋_GB2312" w:cs="仿宋_GB2312"/>
                <w:sz w:val="21"/>
                <w:szCs w:val="21"/>
                <w:lang w:val="en-US" w:eastAsia="zh-CN"/>
              </w:rPr>
              <w:t>考核</w:t>
            </w:r>
            <w:r>
              <w:rPr>
                <w:rFonts w:hint="eastAsia" w:ascii="仿宋_GB2312" w:hAnsi="仿宋_GB2312" w:eastAsia="仿宋_GB2312" w:cs="仿宋_GB2312"/>
                <w:sz w:val="21"/>
                <w:szCs w:val="21"/>
              </w:rPr>
              <w:t xml:space="preserve"> </w:t>
            </w:r>
            <w:r>
              <w:rPr>
                <w:rFonts w:hint="eastAsia" w:ascii="仿宋_GB2312" w:hAnsi="仿宋_GB2312" w:eastAsia="仿宋_GB2312" w:cs="仿宋_GB2312"/>
                <w:sz w:val="21"/>
                <w:szCs w:val="21"/>
                <w:lang w:val="en-US" w:eastAsia="zh-CN"/>
              </w:rPr>
              <w:t>5</w:t>
            </w:r>
            <w:r>
              <w:rPr>
                <w:rFonts w:hint="eastAsia" w:ascii="仿宋_GB2312" w:hAnsi="仿宋_GB2312" w:eastAsia="仿宋_GB2312" w:cs="仿宋_GB231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w:t>
            </w:r>
          </w:p>
        </w:tc>
        <w:tc>
          <w:tcPr>
            <w:tcW w:w="128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电机与运动控制技术</w:t>
            </w:r>
            <w:r>
              <w:rPr>
                <w:rFonts w:hint="eastAsia" w:ascii="仿宋_GB2312" w:hAnsi="仿宋_GB2312" w:eastAsia="仿宋_GB2312" w:cs="仿宋_GB2312"/>
                <w:sz w:val="21"/>
                <w:szCs w:val="21"/>
                <w:lang w:val="en-US" w:eastAsia="zh-CN"/>
              </w:rPr>
              <w:t>(企业)</w:t>
            </w:r>
          </w:p>
        </w:tc>
        <w:tc>
          <w:tcPr>
            <w:tcW w:w="533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① 安全使用常用电机。</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② 设计与调试常用电机电路。</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③ 调试步进电机系统。</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④ 进行变频调速。</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⑤ 调试伺服电机系统</w:t>
            </w:r>
          </w:p>
        </w:tc>
        <w:tc>
          <w:tcPr>
            <w:tcW w:w="389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val="en-US" w:eastAsia="zh-CN"/>
              </w:rPr>
              <w:t>①</w:t>
            </w:r>
            <w:r>
              <w:rPr>
                <w:rFonts w:hint="eastAsia" w:ascii="仿宋_GB2312" w:hAnsi="仿宋_GB2312" w:eastAsia="仿宋_GB2312" w:cs="仿宋_GB2312"/>
                <w:sz w:val="21"/>
                <w:szCs w:val="21"/>
                <w:lang w:eastAsia="zh-CN"/>
              </w:rPr>
              <w:t>掌握常用</w:t>
            </w:r>
            <w:r>
              <w:rPr>
                <w:rFonts w:hint="eastAsia" w:ascii="仿宋_GB2312" w:hAnsi="仿宋_GB2312" w:eastAsia="仿宋_GB2312" w:cs="仿宋_GB2312"/>
                <w:sz w:val="21"/>
                <w:szCs w:val="21"/>
                <w:lang w:val="en-US" w:eastAsia="zh-CN"/>
              </w:rPr>
              <w:t>直流、同步、异步、步进、伺服等</w:t>
            </w:r>
            <w:r>
              <w:rPr>
                <w:rFonts w:hint="eastAsia" w:ascii="仿宋_GB2312" w:hAnsi="仿宋_GB2312" w:eastAsia="仿宋_GB2312" w:cs="仿宋_GB2312"/>
                <w:sz w:val="21"/>
                <w:szCs w:val="21"/>
                <w:lang w:eastAsia="zh-CN"/>
              </w:rPr>
              <w:t>电机的工作原理、用电安全知识。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② 掌握运动控制系统的基本概念、基本理论，运动控制的基本规律。</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③ 掌握直流、交流、步进、伺服运动控制系统的执行器和控制器的原理及其调试方法。</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④ 能完成多种电机运动控制系统的设计与调试。</w:t>
            </w:r>
          </w:p>
        </w:tc>
        <w:tc>
          <w:tcPr>
            <w:tcW w:w="2682"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1.教学形式：混合式授课</w:t>
            </w:r>
            <w:r>
              <w:rPr>
                <w:rFonts w:hint="eastAsia" w:ascii="仿宋_GB2312" w:hAnsi="仿宋_GB2312" w:eastAsia="仿宋_GB2312" w:cs="仿宋_GB2312"/>
                <w:sz w:val="21"/>
                <w:szCs w:val="21"/>
                <w:lang w:eastAsia="zh-CN"/>
              </w:rPr>
              <w:t>，</w:t>
            </w:r>
            <w:r>
              <w:rPr>
                <w:rFonts w:hint="eastAsia" w:ascii="仿宋_GB2312" w:hAnsi="仿宋_GB2312" w:eastAsia="仿宋_GB2312" w:cs="仿宋_GB2312"/>
                <w:sz w:val="21"/>
                <w:szCs w:val="21"/>
                <w:lang w:val="en-US" w:eastAsia="zh-CN"/>
              </w:rPr>
              <w:t>项目式教学。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2.教室要求：</w:t>
            </w:r>
            <w:r>
              <w:rPr>
                <w:rFonts w:hint="eastAsia" w:ascii="仿宋_GB2312" w:hAnsi="仿宋_GB2312" w:eastAsia="仿宋_GB2312" w:cs="仿宋_GB2312"/>
                <w:sz w:val="21"/>
                <w:szCs w:val="21"/>
                <w:lang w:val="en-US" w:eastAsia="zh-CN"/>
              </w:rPr>
              <w:t>运动控制专用一体化教室，包括编程电脑、PLC、变频器、步进驱动器、伺服驱动器，变频电机、步进电机、伺服电机、直流电机等。</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 xml:space="preserve">3.考核要求：平时考核 </w:t>
            </w:r>
            <w:r>
              <w:rPr>
                <w:rFonts w:hint="eastAsia" w:ascii="仿宋_GB2312" w:hAnsi="仿宋_GB2312" w:eastAsia="仿宋_GB2312" w:cs="仿宋_GB2312"/>
                <w:sz w:val="21"/>
                <w:szCs w:val="21"/>
                <w:lang w:val="en-US" w:eastAsia="zh-CN"/>
              </w:rPr>
              <w:t>4</w:t>
            </w:r>
            <w:r>
              <w:rPr>
                <w:rFonts w:hint="eastAsia" w:ascii="仿宋_GB2312" w:hAnsi="仿宋_GB2312" w:eastAsia="仿宋_GB2312" w:cs="仿宋_GB2312"/>
                <w:sz w:val="21"/>
                <w:szCs w:val="21"/>
              </w:rPr>
              <w:t>0%，期末</w:t>
            </w:r>
            <w:r>
              <w:rPr>
                <w:rFonts w:hint="eastAsia" w:ascii="仿宋_GB2312" w:hAnsi="仿宋_GB2312" w:eastAsia="仿宋_GB2312" w:cs="仿宋_GB2312"/>
                <w:sz w:val="21"/>
                <w:szCs w:val="21"/>
                <w:lang w:val="en-US" w:eastAsia="zh-CN"/>
              </w:rPr>
              <w:t>考核6</w:t>
            </w:r>
            <w:r>
              <w:rPr>
                <w:rFonts w:hint="eastAsia" w:ascii="仿宋_GB2312" w:hAnsi="仿宋_GB2312" w:eastAsia="仿宋_GB2312" w:cs="仿宋_GB231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3</w:t>
            </w:r>
          </w:p>
        </w:tc>
        <w:tc>
          <w:tcPr>
            <w:tcW w:w="1280" w:type="dxa"/>
            <w:shd w:val="clear" w:color="auto" w:fill="auto"/>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工业机器人应用技术(企业)</w:t>
            </w:r>
          </w:p>
        </w:tc>
        <w:tc>
          <w:tcPr>
            <w:tcW w:w="5330" w:type="dxa"/>
            <w:shd w:val="clear" w:color="auto" w:fill="auto"/>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①了解机器人产业发展；</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②熟悉工业机器人的基本结构、工作原理、运动学原理、模型建立过程，理解控制系统组成及原理；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③掌握机器人程序编写、调试与改进，I/O 信号配置，与 PLC 通信，HMI 程序设计与调试；</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④能依据工艺要求独立完成程序编写调试，开展典型应用工作站程序编写调试，处理故障，评估工作站并优化。</w:t>
            </w:r>
          </w:p>
        </w:tc>
        <w:tc>
          <w:tcPr>
            <w:tcW w:w="3890" w:type="dxa"/>
            <w:shd w:val="clear" w:color="auto" w:fill="auto"/>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val="en-US" w:eastAsia="zh-CN"/>
              </w:rPr>
              <w:t>①工业机器人</w:t>
            </w:r>
            <w:r>
              <w:rPr>
                <w:rFonts w:hint="eastAsia" w:ascii="仿宋_GB2312" w:hAnsi="仿宋_GB2312" w:eastAsia="仿宋_GB2312" w:cs="仿宋_GB2312"/>
                <w:sz w:val="21"/>
                <w:szCs w:val="21"/>
              </w:rPr>
              <w:t>发展现状与趋势</w:t>
            </w:r>
            <w:r>
              <w:rPr>
                <w:rFonts w:hint="eastAsia" w:ascii="仿宋_GB2312" w:hAnsi="仿宋_GB2312" w:eastAsia="仿宋_GB2312" w:cs="仿宋_GB2312"/>
                <w:sz w:val="21"/>
                <w:szCs w:val="21"/>
                <w:lang w:eastAsia="zh-CN"/>
              </w:rPr>
              <w:t>；</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②工业机器人</w:t>
            </w:r>
            <w:r>
              <w:rPr>
                <w:rFonts w:hint="eastAsia" w:ascii="仿宋_GB2312" w:hAnsi="仿宋_GB2312" w:eastAsia="仿宋_GB2312" w:cs="仿宋_GB2312"/>
                <w:sz w:val="21"/>
                <w:szCs w:val="21"/>
              </w:rPr>
              <w:t>基本结构与工作原理</w:t>
            </w:r>
            <w:r>
              <w:rPr>
                <w:rFonts w:hint="eastAsia" w:ascii="仿宋_GB2312" w:hAnsi="仿宋_GB2312" w:eastAsia="仿宋_GB2312" w:cs="仿宋_GB2312"/>
                <w:sz w:val="21"/>
                <w:szCs w:val="21"/>
                <w:lang w:eastAsia="zh-CN"/>
              </w:rPr>
              <w:t>，</w:t>
            </w:r>
            <w:r>
              <w:rPr>
                <w:rFonts w:hint="eastAsia" w:ascii="仿宋_GB2312" w:hAnsi="仿宋_GB2312" w:eastAsia="仿宋_GB2312" w:cs="仿宋_GB2312"/>
                <w:sz w:val="21"/>
                <w:szCs w:val="21"/>
                <w:lang w:val="en-US" w:eastAsia="zh-CN"/>
              </w:rPr>
              <w:t>运动轨迹与插补算法；</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③工业机器人坐标系转换与设置；</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④工业机器人编程与调试；</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⑤</w:t>
            </w:r>
            <w:r>
              <w:rPr>
                <w:rFonts w:hint="eastAsia" w:ascii="仿宋_GB2312" w:hAnsi="仿宋_GB2312" w:eastAsia="仿宋_GB2312" w:cs="仿宋_GB2312"/>
                <w:sz w:val="21"/>
                <w:szCs w:val="21"/>
              </w:rPr>
              <w:t>工业机器人应用实践</w:t>
            </w:r>
            <w:r>
              <w:rPr>
                <w:rFonts w:hint="eastAsia" w:ascii="仿宋_GB2312" w:hAnsi="仿宋_GB2312" w:eastAsia="仿宋_GB2312" w:cs="仿宋_GB2312"/>
                <w:sz w:val="21"/>
                <w:szCs w:val="21"/>
                <w:lang w:eastAsia="zh-CN"/>
              </w:rPr>
              <w:t>。</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p>
        </w:tc>
        <w:tc>
          <w:tcPr>
            <w:tcW w:w="2682" w:type="dxa"/>
            <w:shd w:val="clear" w:color="auto" w:fill="auto"/>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2.教室要求：实训室需配有不少于8套的工业机器人工作站。</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3.考核要求：现场评估+视频 40%，现场评估+文档评审 20%，文档评审+PPT汇报 20%，客观+主观题考试 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val="en-US" w:eastAsia="zh-CN"/>
              </w:rPr>
              <w:t>4</w:t>
            </w:r>
          </w:p>
        </w:tc>
        <w:tc>
          <w:tcPr>
            <w:tcW w:w="128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数控机床编程与操作</w:t>
            </w:r>
            <w:r>
              <w:rPr>
                <w:rFonts w:hint="eastAsia" w:ascii="仿宋_GB2312" w:hAnsi="仿宋_GB2312" w:eastAsia="仿宋_GB2312" w:cs="仿宋_GB2312"/>
                <w:sz w:val="21"/>
                <w:szCs w:val="21"/>
                <w:lang w:val="en-US" w:eastAsia="zh-CN"/>
              </w:rPr>
              <w:t>(企业)</w:t>
            </w:r>
          </w:p>
        </w:tc>
        <w:tc>
          <w:tcPr>
            <w:tcW w:w="533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 xml:space="preserve">① 安全操作数控机床。 </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 xml:space="preserve">② 运用数控机床加工简单机械零件。 </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③ 进行数控机床的维护。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p>
        </w:tc>
        <w:tc>
          <w:tcPr>
            <w:tcW w:w="389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① 了解国家机床产业重要性，掌握数控系统、数控机床的伺服系统、数控机床的机械结构。</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② 能进行阶梯轴的数控加工程序编制、螺纹轴的数控加工程序编制、轮廓类零件的数控加工程序编制、孔系零件的数控加工程序编制。</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③ 能进行数控机床的使用与维护</w:t>
            </w:r>
            <w:r>
              <w:rPr>
                <w:rFonts w:hint="eastAsia" w:ascii="仿宋_GB2312" w:hAnsi="仿宋_GB2312" w:eastAsia="仿宋_GB2312" w:cs="仿宋_GB2312"/>
                <w:sz w:val="21"/>
                <w:szCs w:val="21"/>
                <w:lang w:eastAsia="zh-CN"/>
              </w:rPr>
              <w:t>。</w:t>
            </w:r>
          </w:p>
        </w:tc>
        <w:tc>
          <w:tcPr>
            <w:tcW w:w="2682"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1.教学形式：项目式行动导向教学。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2.教室要求：数控车削实训室，数控铣削实训室。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3.考核要求：平时考核 60%，期末考核40%。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5</w:t>
            </w:r>
          </w:p>
        </w:tc>
        <w:tc>
          <w:tcPr>
            <w:tcW w:w="128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电气控制系统设计与装调</w:t>
            </w:r>
            <w:r>
              <w:rPr>
                <w:rFonts w:hint="eastAsia" w:ascii="仿宋_GB2312" w:hAnsi="仿宋_GB2312" w:eastAsia="仿宋_GB2312" w:cs="仿宋_GB2312"/>
                <w:sz w:val="21"/>
                <w:szCs w:val="21"/>
                <w:lang w:val="en-US" w:eastAsia="zh-CN"/>
              </w:rPr>
              <w:t>(企业)</w:t>
            </w:r>
          </w:p>
        </w:tc>
        <w:tc>
          <w:tcPr>
            <w:tcW w:w="533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①</w:t>
            </w:r>
            <w:r>
              <w:rPr>
                <w:rFonts w:hint="eastAsia" w:ascii="仿宋_GB2312" w:hAnsi="仿宋_GB2312" w:eastAsia="仿宋_GB2312" w:cs="仿宋_GB2312"/>
                <w:sz w:val="21"/>
                <w:szCs w:val="21"/>
                <w:lang w:val="en-US" w:eastAsia="zh-CN"/>
              </w:rPr>
              <w:t>了解自动化生产线控制原理，熟悉自动化生产线安装步骤。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②</w:t>
            </w:r>
            <w:r>
              <w:rPr>
                <w:rFonts w:hint="eastAsia" w:ascii="仿宋_GB2312" w:hAnsi="仿宋_GB2312" w:eastAsia="仿宋_GB2312" w:cs="仿宋_GB2312"/>
                <w:sz w:val="21"/>
                <w:szCs w:val="21"/>
                <w:lang w:val="en-US" w:eastAsia="zh-CN"/>
              </w:rPr>
              <w:t>掌握常用低压电器元件工作原理，根据具体电气控制系统要求，设计电气控制回路，选择参数适宜的低压电器元件，进行电路安装与调试，以及电路故障排查。</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③</w:t>
            </w:r>
            <w:r>
              <w:rPr>
                <w:rFonts w:hint="eastAsia" w:ascii="仿宋_GB2312" w:hAnsi="仿宋_GB2312" w:eastAsia="仿宋_GB2312" w:cs="仿宋_GB2312"/>
                <w:sz w:val="21"/>
                <w:szCs w:val="21"/>
                <w:lang w:val="en-US" w:eastAsia="zh-CN"/>
              </w:rPr>
              <w:t>能根据生产任务需求，针对生产线调试要求，进行触摸屏设计，进行PLC程序设计与优化，实现自动化产线的设计、安装与调试，以及故障排查。</w:t>
            </w:r>
          </w:p>
        </w:tc>
        <w:tc>
          <w:tcPr>
            <w:tcW w:w="389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①</w:t>
            </w:r>
            <w:r>
              <w:rPr>
                <w:rFonts w:hint="eastAsia" w:ascii="仿宋_GB2312" w:hAnsi="仿宋_GB2312" w:eastAsia="仿宋_GB2312" w:cs="仿宋_GB2312"/>
                <w:sz w:val="21"/>
                <w:szCs w:val="21"/>
                <w:lang w:val="en-US" w:eastAsia="zh-CN"/>
              </w:rPr>
              <w:t>自动化生产线控制原理。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②</w:t>
            </w:r>
            <w:r>
              <w:rPr>
                <w:rFonts w:hint="eastAsia" w:ascii="仿宋_GB2312" w:hAnsi="仿宋_GB2312" w:eastAsia="仿宋_GB2312" w:cs="仿宋_GB2312"/>
                <w:sz w:val="21"/>
                <w:szCs w:val="21"/>
                <w:lang w:val="en-US" w:eastAsia="zh-CN"/>
              </w:rPr>
              <w:t>电气控制系统的安装规范与步骤。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③</w:t>
            </w:r>
            <w:r>
              <w:rPr>
                <w:rFonts w:hint="eastAsia" w:ascii="仿宋_GB2312" w:hAnsi="仿宋_GB2312" w:eastAsia="仿宋_GB2312" w:cs="仿宋_GB2312"/>
                <w:sz w:val="21"/>
                <w:szCs w:val="21"/>
                <w:lang w:val="en-US" w:eastAsia="zh-CN"/>
              </w:rPr>
              <w:t>常用低压电器元件工作原理与选用原则，电气控制回路设计，电路安装与调试方法，电路故障排查方法与步骤。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p>
        </w:tc>
        <w:tc>
          <w:tcPr>
            <w:tcW w:w="2682"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1.教学形式：项目式行动导向教学。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2.教室要求：电气控制系统装调训练设备。</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3.考核要求：平时考核 50%，期末考核50%。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6</w:t>
            </w:r>
          </w:p>
        </w:tc>
        <w:tc>
          <w:tcPr>
            <w:tcW w:w="128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机电产品</w:t>
            </w:r>
            <w:r>
              <w:rPr>
                <w:rFonts w:hint="eastAsia" w:ascii="仿宋_GB2312" w:hAnsi="仿宋_GB2312" w:eastAsia="仿宋_GB2312" w:cs="仿宋_GB2312"/>
                <w:sz w:val="21"/>
                <w:szCs w:val="21"/>
                <w:lang w:val="en-US" w:eastAsia="zh-CN"/>
              </w:rPr>
              <w:t>数字孪生技术(企业)</w:t>
            </w:r>
          </w:p>
        </w:tc>
        <w:tc>
          <w:tcPr>
            <w:tcW w:w="533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①</w:t>
            </w:r>
            <w:r>
              <w:rPr>
                <w:rFonts w:hint="eastAsia" w:ascii="仿宋_GB2312" w:hAnsi="仿宋_GB2312" w:eastAsia="仿宋_GB2312" w:cs="仿宋_GB2312"/>
                <w:sz w:val="21"/>
                <w:szCs w:val="21"/>
                <w:lang w:val="en-US" w:eastAsia="zh-CN"/>
              </w:rPr>
              <w:t>能进行机电产品建模。</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②</w:t>
            </w:r>
            <w:r>
              <w:rPr>
                <w:rFonts w:hint="eastAsia" w:ascii="仿宋_GB2312" w:hAnsi="仿宋_GB2312" w:eastAsia="仿宋_GB2312" w:cs="仿宋_GB2312"/>
                <w:sz w:val="21"/>
                <w:szCs w:val="21"/>
                <w:lang w:val="en-US" w:eastAsia="zh-CN"/>
              </w:rPr>
              <w:t>能应用智能制造数字孪生与虚拟调试技术进行机电设备调试。</w:t>
            </w:r>
          </w:p>
        </w:tc>
        <w:tc>
          <w:tcPr>
            <w:tcW w:w="389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①</w:t>
            </w:r>
            <w:r>
              <w:rPr>
                <w:rFonts w:hint="eastAsia" w:ascii="仿宋_GB2312" w:hAnsi="仿宋_GB2312" w:eastAsia="仿宋_GB2312" w:cs="仿宋_GB2312"/>
                <w:sz w:val="21"/>
                <w:szCs w:val="21"/>
                <w:lang w:val="en-US" w:eastAsia="zh-CN"/>
              </w:rPr>
              <w:t>产品全生命周期的概念。</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②</w:t>
            </w:r>
            <w:r>
              <w:rPr>
                <w:rFonts w:hint="eastAsia" w:ascii="仿宋_GB2312" w:hAnsi="仿宋_GB2312" w:eastAsia="仿宋_GB2312" w:cs="仿宋_GB2312"/>
                <w:sz w:val="21"/>
                <w:szCs w:val="21"/>
                <w:lang w:val="en-US" w:eastAsia="zh-CN"/>
              </w:rPr>
              <w:t>机电一体化概念设计、基于物理特性的运动仿真基础。</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③</w:t>
            </w:r>
            <w:r>
              <w:rPr>
                <w:rFonts w:hint="eastAsia" w:ascii="仿宋_GB2312" w:hAnsi="仿宋_GB2312" w:eastAsia="仿宋_GB2312" w:cs="仿宋_GB2312"/>
                <w:sz w:val="21"/>
                <w:szCs w:val="21"/>
                <w:lang w:val="en-US" w:eastAsia="zh-CN"/>
              </w:rPr>
              <w:t>运动仿真、虚拟调试，机电产品数字孪生技术。</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p>
        </w:tc>
        <w:tc>
          <w:tcPr>
            <w:tcW w:w="2682"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1.教学形式：项目式行动导向教学。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2.教室要求：虚拟仿真实训室。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3.考核要求：平时考核 50%，期末考核50%。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vAlign w:val="center"/>
          </w:tcPr>
          <w:p>
            <w:pPr>
              <w:keepNext w:val="0"/>
              <w:keepLines w:val="0"/>
              <w:suppressLineNumbers w:val="0"/>
              <w:spacing w:before="0" w:beforeAutospacing="0" w:after="0" w:afterAutospacing="0" w:line="240" w:lineRule="exact"/>
              <w:ind w:left="0" w:right="0"/>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7</w:t>
            </w:r>
          </w:p>
        </w:tc>
        <w:tc>
          <w:tcPr>
            <w:tcW w:w="128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自动化生产线设计与调试</w:t>
            </w:r>
            <w:r>
              <w:rPr>
                <w:rFonts w:hint="eastAsia" w:ascii="仿宋_GB2312" w:hAnsi="仿宋_GB2312" w:eastAsia="仿宋_GB2312" w:cs="仿宋_GB2312"/>
                <w:sz w:val="21"/>
                <w:szCs w:val="21"/>
                <w:lang w:val="en-US" w:eastAsia="zh-CN"/>
              </w:rPr>
              <w:t>(企业)</w:t>
            </w:r>
          </w:p>
        </w:tc>
        <w:tc>
          <w:tcPr>
            <w:tcW w:w="533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①</w:t>
            </w:r>
            <w:r>
              <w:rPr>
                <w:rFonts w:hint="eastAsia" w:ascii="仿宋_GB2312" w:hAnsi="仿宋_GB2312" w:eastAsia="仿宋_GB2312" w:cs="仿宋_GB2312"/>
                <w:sz w:val="21"/>
                <w:szCs w:val="21"/>
                <w:lang w:val="en-US" w:eastAsia="zh-CN"/>
              </w:rPr>
              <w:t>正确阐述自动线各单元站的系统组成和工艺流程，分析各功能模块的结构原理和电气原理。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②能够应用元器件和工业机器人，设计 PLC程序和人机界面实现单元站功能。</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③完成自动线各单元的组网通信和联机调试，运用实时生产系统理论对自动线进行平衡优化。</w:t>
            </w:r>
          </w:p>
        </w:tc>
        <w:tc>
          <w:tcPr>
            <w:tcW w:w="3890"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①</w:t>
            </w:r>
            <w:r>
              <w:rPr>
                <w:rFonts w:hint="eastAsia" w:ascii="仿宋_GB2312" w:hAnsi="仿宋_GB2312" w:eastAsia="仿宋_GB2312" w:cs="仿宋_GB2312"/>
                <w:sz w:val="21"/>
                <w:szCs w:val="21"/>
                <w:lang w:val="en-US" w:eastAsia="zh-CN"/>
              </w:rPr>
              <w:t>了解制造业发展趋势。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②掌握自动化生产线的概念、结构组成。③自动化产线相关元器件、工业机器人的使用。</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④自动线各单元站的系统组成和工艺流程。</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rPr>
              <w:t>⑤</w:t>
            </w:r>
            <w:r>
              <w:rPr>
                <w:rFonts w:hint="eastAsia" w:ascii="仿宋_GB2312" w:hAnsi="仿宋_GB2312" w:eastAsia="仿宋_GB2312" w:cs="仿宋_GB2312"/>
                <w:sz w:val="21"/>
                <w:szCs w:val="21"/>
                <w:lang w:val="en-US" w:eastAsia="zh-CN"/>
              </w:rPr>
              <w:t>自动化产线调试方法、调试技能训练，故障分析与排除方法。</w:t>
            </w:r>
          </w:p>
        </w:tc>
        <w:tc>
          <w:tcPr>
            <w:tcW w:w="2682" w:type="dxa"/>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1.教学形式：项目式行动导向教学。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2.教室要求：含自动化生产线实训设备不少于8套。</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3.考核要求：平时考核 40%，期末考核60%。</w:t>
            </w:r>
          </w:p>
        </w:tc>
      </w:tr>
    </w:tbl>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rPr>
        <w:sectPr>
          <w:footerReference r:id="rId5" w:type="default"/>
          <w:pgSz w:w="16838" w:h="11906" w:orient="landscape"/>
          <w:pgMar w:top="1803" w:right="1440" w:bottom="1803" w:left="1440" w:header="851" w:footer="992" w:gutter="0"/>
          <w:pgNumType w:fmt="decimal"/>
          <w:cols w:space="0" w:num="1"/>
          <w:docGrid w:type="lines" w:linePitch="319" w:charSpace="0"/>
        </w:sectPr>
      </w:pPr>
    </w:p>
    <w:p>
      <w:pPr>
        <w:pStyle w:val="7"/>
        <w:rPr>
          <w:rFonts w:hint="eastAsia" w:ascii="仿宋" w:hAnsi="仿宋" w:eastAsia="仿宋" w:cs="仿宋"/>
          <w:sz w:val="30"/>
          <w:szCs w:val="30"/>
        </w:rPr>
      </w:pPr>
      <w:r>
        <w:rPr>
          <w:rFonts w:hint="eastAsia" w:ascii="仿宋" w:hAnsi="仿宋" w:eastAsia="仿宋" w:cs="仿宋"/>
          <w:sz w:val="30"/>
          <w:szCs w:val="30"/>
        </w:rPr>
        <w:t>（3）综合实践课程</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pPr>
        <w:adjustRightInd w:val="0"/>
        <w:snapToGrid w:val="0"/>
        <w:spacing w:line="360" w:lineRule="auto"/>
        <w:ind w:firstLine="560" w:firstLineChars="200"/>
        <w:jc w:val="left"/>
        <w:rPr>
          <w:rFonts w:hint="eastAsia" w:ascii="仿宋" w:hAnsi="仿宋" w:eastAsia="仿宋" w:cs="仿宋"/>
          <w:sz w:val="28"/>
          <w:szCs w:val="28"/>
        </w:rPr>
      </w:pPr>
      <w:r>
        <w:rPr>
          <w:rFonts w:hint="eastAsia" w:ascii="仿宋" w:hAnsi="仿宋" w:eastAsia="仿宋" w:cs="仿宋"/>
          <w:sz w:val="28"/>
          <w:szCs w:val="28"/>
        </w:rPr>
        <w:t>构建“4E（Experiment）”的机械电子工程技术专业高层次实践体系，实践体系由基础实践、专业技能实践、创新实践和生产实践四个层面组成。达成“学、训、研、用”四个实践过程，提升工程应用能力，其功能呈渐进式上升，校企深度融合，企业导师全程参与，实践方式由间接体验转为直接实践，强化实践、夯实基础、提高人才高层次素质能力。</w:t>
      </w:r>
    </w:p>
    <w:p>
      <w:pPr>
        <w:adjustRightInd w:val="0"/>
        <w:snapToGrid w:val="0"/>
        <w:spacing w:line="360" w:lineRule="auto"/>
        <w:ind w:firstLine="420" w:firstLineChars="200"/>
        <w:jc w:val="left"/>
        <w:rPr>
          <w:rFonts w:hint="eastAsia" w:ascii="仿宋" w:hAnsi="仿宋" w:eastAsia="仿宋" w:cs="仿宋"/>
          <w:sz w:val="28"/>
          <w:szCs w:val="28"/>
        </w:rPr>
      </w:pPr>
      <w:r>
        <w:drawing>
          <wp:inline distT="0" distB="0" distL="114300" distR="114300">
            <wp:extent cx="5070475" cy="2985135"/>
            <wp:effectExtent l="0" t="0" r="9525"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070475" cy="2985135"/>
                    </a:xfrm>
                    <a:prstGeom prst="rect">
                      <a:avLst/>
                    </a:prstGeom>
                    <a:noFill/>
                    <a:ln>
                      <a:noFill/>
                    </a:ln>
                  </pic:spPr>
                </pic:pic>
              </a:graphicData>
            </a:graphic>
          </wp:inline>
        </w:drawing>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②综合实践课程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主要包括实训、课程设计、实习、毕业设计等。要有在企业实践环节的安排。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a.实训安排</w:t>
      </w:r>
    </w:p>
    <w:tbl>
      <w:tblPr>
        <w:tblStyle w:val="16"/>
        <w:tblW w:w="49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7"/>
        <w:gridCol w:w="1711"/>
        <w:gridCol w:w="721"/>
        <w:gridCol w:w="2040"/>
        <w:gridCol w:w="1618"/>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454" w:type="pct"/>
            <w:vAlign w:val="center"/>
          </w:tcPr>
          <w:p>
            <w:pPr>
              <w:spacing w:line="24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013" w:type="pct"/>
            <w:vAlign w:val="center"/>
          </w:tcPr>
          <w:p>
            <w:pPr>
              <w:spacing w:line="24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实训环节</w:t>
            </w:r>
          </w:p>
        </w:tc>
        <w:tc>
          <w:tcPr>
            <w:tcW w:w="427" w:type="pct"/>
            <w:shd w:val="clear" w:color="auto" w:fill="auto"/>
            <w:vAlign w:val="center"/>
          </w:tcPr>
          <w:p>
            <w:pPr>
              <w:spacing w:line="24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208" w:type="pct"/>
            <w:vAlign w:val="center"/>
          </w:tcPr>
          <w:p>
            <w:pPr>
              <w:spacing w:line="24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958" w:type="pct"/>
            <w:vAlign w:val="center"/>
          </w:tcPr>
          <w:p>
            <w:pPr>
              <w:spacing w:line="24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依托课程</w:t>
            </w:r>
          </w:p>
        </w:tc>
        <w:tc>
          <w:tcPr>
            <w:tcW w:w="936" w:type="pct"/>
            <w:vAlign w:val="center"/>
          </w:tcPr>
          <w:p>
            <w:pPr>
              <w:spacing w:line="24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45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1</w:t>
            </w:r>
          </w:p>
        </w:tc>
        <w:tc>
          <w:tcPr>
            <w:tcW w:w="1013"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金工实训实操</w:t>
            </w:r>
          </w:p>
        </w:tc>
        <w:tc>
          <w:tcPr>
            <w:tcW w:w="427"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1</w:t>
            </w:r>
          </w:p>
        </w:tc>
        <w:tc>
          <w:tcPr>
            <w:tcW w:w="1208" w:type="pct"/>
            <w:vAlign w:val="center"/>
          </w:tcPr>
          <w:p>
            <w:pPr>
              <w:adjustRightInd w:val="0"/>
              <w:snapToGrid w:val="0"/>
              <w:spacing w:line="240" w:lineRule="auto"/>
              <w:jc w:val="left"/>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手工加工零部件</w:t>
            </w:r>
          </w:p>
        </w:tc>
        <w:tc>
          <w:tcPr>
            <w:tcW w:w="958"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劳动教育—工业·匠心</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柳州职业技术大学机械厂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45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2</w:t>
            </w:r>
          </w:p>
        </w:tc>
        <w:tc>
          <w:tcPr>
            <w:tcW w:w="1013"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电路安装与调试实操</w:t>
            </w:r>
          </w:p>
        </w:tc>
        <w:tc>
          <w:tcPr>
            <w:tcW w:w="427"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2</w:t>
            </w:r>
          </w:p>
        </w:tc>
        <w:tc>
          <w:tcPr>
            <w:tcW w:w="1208" w:type="pct"/>
            <w:vAlign w:val="center"/>
          </w:tcPr>
          <w:p>
            <w:pPr>
              <w:adjustRightInd w:val="0"/>
              <w:snapToGrid w:val="0"/>
              <w:spacing w:line="240" w:lineRule="auto"/>
              <w:jc w:val="left"/>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看懂电路图，能按图正确按照电路，排除故障。</w:t>
            </w:r>
          </w:p>
        </w:tc>
        <w:tc>
          <w:tcPr>
            <w:tcW w:w="958"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电工技能实训</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东风柳州汽车有限公司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45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3</w:t>
            </w:r>
          </w:p>
        </w:tc>
        <w:tc>
          <w:tcPr>
            <w:tcW w:w="1013"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零件图与装配图绘制实操</w:t>
            </w:r>
          </w:p>
        </w:tc>
        <w:tc>
          <w:tcPr>
            <w:tcW w:w="427"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3</w:t>
            </w:r>
          </w:p>
        </w:tc>
        <w:tc>
          <w:tcPr>
            <w:tcW w:w="1208" w:type="pct"/>
            <w:vAlign w:val="center"/>
          </w:tcPr>
          <w:p>
            <w:pPr>
              <w:adjustRightInd w:val="0"/>
              <w:snapToGrid w:val="0"/>
              <w:spacing w:line="240" w:lineRule="auto"/>
              <w:jc w:val="left"/>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能使用CAD软件规范绘制零件图与装配图</w:t>
            </w:r>
          </w:p>
        </w:tc>
        <w:tc>
          <w:tcPr>
            <w:tcW w:w="958"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CAD工程图绘制</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东风柳州汽车有限公司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45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4</w:t>
            </w:r>
          </w:p>
        </w:tc>
        <w:tc>
          <w:tcPr>
            <w:tcW w:w="1013"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机电产品创新设计实操</w:t>
            </w:r>
          </w:p>
        </w:tc>
        <w:tc>
          <w:tcPr>
            <w:tcW w:w="427"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7</w:t>
            </w:r>
          </w:p>
        </w:tc>
        <w:tc>
          <w:tcPr>
            <w:tcW w:w="1208" w:type="pct"/>
            <w:vAlign w:val="center"/>
          </w:tcPr>
          <w:p>
            <w:pPr>
              <w:adjustRightInd w:val="0"/>
              <w:snapToGrid w:val="0"/>
              <w:spacing w:line="240" w:lineRule="auto"/>
              <w:jc w:val="left"/>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能基于创新设计理论完成机电产品的创新设计</w:t>
            </w:r>
          </w:p>
        </w:tc>
        <w:tc>
          <w:tcPr>
            <w:tcW w:w="958"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机电产品创新设计</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新能德科技有限公司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45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5</w:t>
            </w:r>
          </w:p>
        </w:tc>
        <w:tc>
          <w:tcPr>
            <w:tcW w:w="1013"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智能制造产线故障诊断与调试运行实操</w:t>
            </w:r>
          </w:p>
        </w:tc>
        <w:tc>
          <w:tcPr>
            <w:tcW w:w="427"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7</w:t>
            </w:r>
          </w:p>
        </w:tc>
        <w:tc>
          <w:tcPr>
            <w:tcW w:w="1208" w:type="pct"/>
            <w:vAlign w:val="center"/>
          </w:tcPr>
          <w:p>
            <w:pPr>
              <w:adjustRightInd w:val="0"/>
              <w:snapToGrid w:val="0"/>
              <w:spacing w:line="240" w:lineRule="auto"/>
              <w:jc w:val="left"/>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完成智能制造产线的程序设计与调试；能进行常见故障的诊断与排除。</w:t>
            </w:r>
          </w:p>
        </w:tc>
        <w:tc>
          <w:tcPr>
            <w:tcW w:w="958"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智能制造产线调试与运行</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lang w:val="en-US" w:eastAsia="zh-CN"/>
              </w:rPr>
            </w:pPr>
            <w:r>
              <w:rPr>
                <w:rFonts w:hint="eastAsia" w:ascii="仿宋_GB2312" w:hAnsi="仿宋_GB2312" w:eastAsia="仿宋_GB2312" w:cs="仿宋_GB2312"/>
                <w:sz w:val="21"/>
                <w:szCs w:val="21"/>
                <w:shd w:val="clear" w:color="auto" w:fill="FFFFFF"/>
                <w:lang w:val="en-US" w:eastAsia="zh-CN"/>
              </w:rPr>
              <w:t>新能德科技有限公司</w:t>
            </w:r>
          </w:p>
        </w:tc>
      </w:tr>
    </w:tbl>
    <w:p>
      <w:pPr>
        <w:adjustRightInd w:val="0"/>
        <w:snapToGrid w:val="0"/>
        <w:spacing w:line="360" w:lineRule="auto"/>
        <w:ind w:firstLine="560" w:firstLineChars="200"/>
        <w:rPr>
          <w:rFonts w:hint="eastAsia" w:ascii="仿宋" w:hAnsi="仿宋" w:eastAsia="仿宋" w:cs="仿宋"/>
          <w:sz w:val="28"/>
          <w:szCs w:val="28"/>
        </w:rPr>
      </w:pP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b.课程设计</w:t>
      </w:r>
    </w:p>
    <w:tbl>
      <w:tblPr>
        <w:tblStyle w:val="16"/>
        <w:tblpPr w:leftFromText="180" w:rightFromText="180" w:vertAnchor="text" w:horzAnchor="page" w:tblpX="1802" w:tblpY="327"/>
        <w:tblOverlap w:val="never"/>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2151"/>
        <w:gridCol w:w="779"/>
        <w:gridCol w:w="1716"/>
        <w:gridCol w:w="1599"/>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14"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256"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课程设计名称</w:t>
            </w:r>
          </w:p>
        </w:tc>
        <w:tc>
          <w:tcPr>
            <w:tcW w:w="455" w:type="pct"/>
            <w:shd w:val="clear" w:color="auto" w:fill="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002"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934"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依托专业课程</w:t>
            </w:r>
          </w:p>
        </w:tc>
        <w:tc>
          <w:tcPr>
            <w:tcW w:w="936"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1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rPr>
            </w:pPr>
            <w:r>
              <w:rPr>
                <w:rFonts w:hint="eastAsia" w:ascii="仿宋_GB2312" w:hAnsi="仿宋_GB2312" w:eastAsia="仿宋_GB2312" w:cs="仿宋_GB2312"/>
                <w:sz w:val="21"/>
                <w:szCs w:val="21"/>
                <w:shd w:val="clear" w:color="auto" w:fill="FFFFFF"/>
              </w:rPr>
              <w:t>1</w:t>
            </w:r>
          </w:p>
        </w:tc>
        <w:tc>
          <w:tcPr>
            <w:tcW w:w="125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课程设计1：机械零件测绘</w:t>
            </w:r>
          </w:p>
        </w:tc>
        <w:tc>
          <w:tcPr>
            <w:tcW w:w="455"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w:t>
            </w:r>
          </w:p>
        </w:tc>
        <w:tc>
          <w:tcPr>
            <w:tcW w:w="1002" w:type="pct"/>
            <w:vAlign w:val="center"/>
          </w:tcPr>
          <w:p>
            <w:pPr>
              <w:adjustRightInd w:val="0"/>
              <w:snapToGrid w:val="0"/>
              <w:spacing w:line="24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正确绘制某一典型机械零件</w:t>
            </w:r>
          </w:p>
        </w:tc>
        <w:tc>
          <w:tcPr>
            <w:tcW w:w="934"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机械制图</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广西汽车集团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1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rPr>
            </w:pPr>
            <w:r>
              <w:rPr>
                <w:rFonts w:hint="eastAsia" w:ascii="仿宋_GB2312" w:hAnsi="仿宋_GB2312" w:eastAsia="仿宋_GB2312" w:cs="仿宋_GB2312"/>
                <w:sz w:val="21"/>
                <w:szCs w:val="21"/>
                <w:shd w:val="clear" w:color="auto" w:fill="FFFFFF"/>
              </w:rPr>
              <w:t>2</w:t>
            </w:r>
          </w:p>
        </w:tc>
        <w:tc>
          <w:tcPr>
            <w:tcW w:w="125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课程设计2：PLC项目设计</w:t>
            </w:r>
          </w:p>
        </w:tc>
        <w:tc>
          <w:tcPr>
            <w:tcW w:w="455"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w:t>
            </w:r>
          </w:p>
        </w:tc>
        <w:tc>
          <w:tcPr>
            <w:tcW w:w="1002" w:type="pct"/>
            <w:vAlign w:val="center"/>
          </w:tcPr>
          <w:p>
            <w:pPr>
              <w:adjustRightInd w:val="0"/>
              <w:snapToGrid w:val="0"/>
              <w:spacing w:line="24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根据设计任务完成PLC程序设计并仿真验证</w:t>
            </w:r>
          </w:p>
        </w:tc>
        <w:tc>
          <w:tcPr>
            <w:tcW w:w="934"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电气控制与PLC应用技术</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新能德科技有限公司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1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rPr>
            </w:pPr>
            <w:r>
              <w:rPr>
                <w:rFonts w:hint="eastAsia" w:ascii="仿宋_GB2312" w:hAnsi="仿宋_GB2312" w:eastAsia="仿宋_GB2312" w:cs="仿宋_GB2312"/>
                <w:sz w:val="21"/>
                <w:szCs w:val="21"/>
                <w:shd w:val="clear" w:color="auto" w:fill="FFFFFF"/>
              </w:rPr>
              <w:t>3</w:t>
            </w:r>
          </w:p>
        </w:tc>
        <w:tc>
          <w:tcPr>
            <w:tcW w:w="125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课程设计3：机械产品数字化设计与仿真</w:t>
            </w:r>
          </w:p>
        </w:tc>
        <w:tc>
          <w:tcPr>
            <w:tcW w:w="455"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4</w:t>
            </w:r>
          </w:p>
        </w:tc>
        <w:tc>
          <w:tcPr>
            <w:tcW w:w="1002" w:type="pct"/>
            <w:vAlign w:val="center"/>
          </w:tcPr>
          <w:p>
            <w:pPr>
              <w:adjustRightInd w:val="0"/>
              <w:snapToGrid w:val="0"/>
              <w:spacing w:line="24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基于某设备进行三维建模、装配并运动仿真</w:t>
            </w:r>
          </w:p>
        </w:tc>
        <w:tc>
          <w:tcPr>
            <w:tcW w:w="934"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数字化设计与仿真</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新能德科技有限公司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14" w:type="pct"/>
            <w:vAlign w:val="center"/>
          </w:tcPr>
          <w:p>
            <w:pPr>
              <w:adjustRightInd w:val="0"/>
              <w:snapToGrid w:val="0"/>
              <w:spacing w:line="240" w:lineRule="auto"/>
              <w:jc w:val="center"/>
              <w:rPr>
                <w:rFonts w:hint="eastAsia" w:ascii="仿宋_GB2312" w:hAnsi="仿宋_GB2312" w:eastAsia="仿宋_GB2312" w:cs="仿宋_GB2312"/>
                <w:sz w:val="21"/>
                <w:szCs w:val="21"/>
                <w:shd w:val="clear" w:color="auto" w:fill="FFFFFF"/>
              </w:rPr>
            </w:pPr>
            <w:r>
              <w:rPr>
                <w:rFonts w:hint="eastAsia" w:ascii="仿宋_GB2312" w:hAnsi="仿宋_GB2312" w:eastAsia="仿宋_GB2312" w:cs="仿宋_GB2312"/>
                <w:sz w:val="21"/>
                <w:szCs w:val="21"/>
                <w:shd w:val="clear" w:color="auto" w:fill="FFFFFF"/>
              </w:rPr>
              <w:t>4</w:t>
            </w:r>
          </w:p>
        </w:tc>
        <w:tc>
          <w:tcPr>
            <w:tcW w:w="125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课程设计4：</w:t>
            </w:r>
            <w:r>
              <w:rPr>
                <w:rFonts w:hint="eastAsia" w:ascii="仿宋_GB2312" w:hAnsi="仿宋_GB2312" w:eastAsia="仿宋_GB2312" w:cs="仿宋_GB2312"/>
                <w:sz w:val="21"/>
                <w:szCs w:val="21"/>
                <w:lang w:val="en-US" w:eastAsia="zh-CN"/>
              </w:rPr>
              <w:t>机械零部件数控加工</w:t>
            </w:r>
          </w:p>
        </w:tc>
        <w:tc>
          <w:tcPr>
            <w:tcW w:w="455" w:type="pct"/>
            <w:shd w:val="clear" w:color="auto" w:fill="auto"/>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5</w:t>
            </w:r>
          </w:p>
        </w:tc>
        <w:tc>
          <w:tcPr>
            <w:tcW w:w="1002" w:type="pct"/>
            <w:vAlign w:val="center"/>
          </w:tcPr>
          <w:p>
            <w:pPr>
              <w:adjustRightInd w:val="0"/>
              <w:snapToGrid w:val="0"/>
              <w:spacing w:line="24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利用数控机床加工某零部件</w:t>
            </w:r>
          </w:p>
        </w:tc>
        <w:tc>
          <w:tcPr>
            <w:tcW w:w="934"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数控机床编程与操作</w:t>
            </w:r>
          </w:p>
        </w:tc>
        <w:tc>
          <w:tcPr>
            <w:tcW w:w="936" w:type="pct"/>
            <w:vAlign w:val="center"/>
          </w:tcPr>
          <w:p>
            <w:pPr>
              <w:adjustRightInd w:val="0"/>
              <w:snapToGrid w:val="0"/>
              <w:spacing w:line="24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val="en-US" w:eastAsia="zh-CN"/>
              </w:rPr>
              <w:t>柳工、东风柳汽</w:t>
            </w:r>
          </w:p>
        </w:tc>
      </w:tr>
    </w:tbl>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c.实习安排</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8"/>
        <w:gridCol w:w="3191"/>
        <w:gridCol w:w="1652"/>
        <w:gridCol w:w="1144"/>
        <w:gridCol w:w="707"/>
        <w:gridCol w:w="1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678"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时间</w:t>
            </w:r>
          </w:p>
        </w:tc>
        <w:tc>
          <w:tcPr>
            <w:tcW w:w="3192"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实习目标</w:t>
            </w:r>
          </w:p>
        </w:tc>
        <w:tc>
          <w:tcPr>
            <w:tcW w:w="0" w:type="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实习项目</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（内容/任务）</w:t>
            </w:r>
          </w:p>
        </w:tc>
        <w:tc>
          <w:tcPr>
            <w:tcW w:w="0" w:type="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实习形</w:t>
            </w:r>
          </w:p>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式</w:t>
            </w:r>
          </w:p>
        </w:tc>
        <w:tc>
          <w:tcPr>
            <w:tcW w:w="0" w:type="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考核要求</w:t>
            </w:r>
          </w:p>
        </w:tc>
        <w:tc>
          <w:tcPr>
            <w:tcW w:w="0" w:type="auto"/>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4" w:hRule="atLeast"/>
        </w:trPr>
        <w:tc>
          <w:tcPr>
            <w:tcW w:w="678" w:type="dxa"/>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第1学期开学初</w:t>
            </w:r>
          </w:p>
        </w:tc>
        <w:tc>
          <w:tcPr>
            <w:tcW w:w="3192" w:type="dxa"/>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培养学生对专业的兴趣；提高学生的归属感、集体荣誉感；帮助学生树立良好的价值观，更好的适应大学生活。找准专业发展方向，坚定专业学习信念。</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认知企业环境、感受体验企业文化。</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企业参观：集中安排典型工作场景的参观学习。</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实习总结</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广西汽车集团、上汽通用五菱、柳工、东风柳汽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678" w:type="dxa"/>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第8学期</w:t>
            </w:r>
          </w:p>
        </w:tc>
        <w:tc>
          <w:tcPr>
            <w:tcW w:w="3192" w:type="dxa"/>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学生到企业参加顶岗实习，通过实践学习，在企业老师的指导下，感受企业文化，解决企业实际问题，养成良好的职业素养，形成良好的职业行为规范、职业道德和就业意识，提高专业技术实践能力，增强学生的职业能力和社会适应能力。</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安全生产管理，企业制度，企业生产设备的基本操作技能，技能训练，综合素养提升。</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岗位实习</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实习总结+企业老师鉴定</w:t>
            </w:r>
          </w:p>
        </w:tc>
        <w:tc>
          <w:tcPr>
            <w:tcW w:w="0" w:type="auto"/>
            <w:vAlign w:val="center"/>
          </w:tcPr>
          <w:p>
            <w:pPr>
              <w:adjustRightInd w:val="0"/>
              <w:snapToGrid w:val="0"/>
              <w:spacing w:line="240" w:lineRule="auto"/>
              <w:jc w:val="both"/>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广西汽车集团、上汽通用五菱、柳工、东风柳汽</w:t>
            </w:r>
          </w:p>
        </w:tc>
      </w:tr>
    </w:tbl>
    <w:p>
      <w:pPr>
        <w:pStyle w:val="7"/>
        <w:rPr>
          <w:rFonts w:hint="eastAsia" w:ascii="仿宋" w:hAnsi="仿宋" w:eastAsia="仿宋" w:cs="仿宋"/>
          <w:sz w:val="30"/>
          <w:szCs w:val="30"/>
        </w:rPr>
      </w:pPr>
      <w:r>
        <w:rPr>
          <w:rFonts w:hint="eastAsia" w:ascii="仿宋" w:hAnsi="仿宋" w:eastAsia="仿宋" w:cs="仿宋"/>
          <w:sz w:val="30"/>
          <w:szCs w:val="30"/>
        </w:rPr>
        <w:t>3.学生竞赛及第二课堂活动</w:t>
      </w:r>
    </w:p>
    <w:p>
      <w:pPr>
        <w:adjustRightInd w:val="0"/>
        <w:snapToGrid w:val="0"/>
        <w:spacing w:line="360" w:lineRule="auto"/>
        <w:ind w:firstLine="560" w:firstLineChars="200"/>
        <w:rPr>
          <w:rFonts w:hint="eastAsia" w:ascii="仿宋" w:hAnsi="仿宋" w:eastAsia="仿宋" w:cs="仿宋"/>
          <w:sz w:val="30"/>
          <w:szCs w:val="30"/>
        </w:rPr>
      </w:pPr>
      <w:r>
        <w:rPr>
          <w:rFonts w:hint="eastAsia" w:ascii="仿宋" w:hAnsi="仿宋" w:eastAsia="仿宋" w:cs="仿宋"/>
          <w:sz w:val="28"/>
          <w:szCs w:val="28"/>
        </w:rPr>
        <w:t>具体安排见第二课堂活动安排表。</w:t>
      </w:r>
    </w:p>
    <w:p>
      <w:pPr>
        <w:rPr>
          <w:rFonts w:hint="eastAsia" w:ascii="黑体" w:hAnsi="黑体" w:eastAsia="黑体" w:cs="黑体"/>
          <w:sz w:val="30"/>
          <w:szCs w:val="30"/>
        </w:rPr>
      </w:pPr>
      <w:bookmarkStart w:id="11" w:name="_Toc27181"/>
      <w:r>
        <w:rPr>
          <w:rFonts w:hint="eastAsia" w:ascii="黑体" w:hAnsi="黑体" w:eastAsia="黑体" w:cs="黑体"/>
          <w:sz w:val="30"/>
          <w:szCs w:val="30"/>
        </w:rPr>
        <w:br w:type="page"/>
      </w:r>
    </w:p>
    <w:p>
      <w:pPr>
        <w:pStyle w:val="3"/>
        <w:spacing w:before="40" w:after="40" w:line="360" w:lineRule="auto"/>
        <w:ind w:firstLine="602" w:firstLineChars="200"/>
        <w:rPr>
          <w:rFonts w:hint="eastAsia" w:ascii="黑体" w:hAnsi="黑体" w:eastAsia="黑体" w:cs="黑体"/>
          <w:sz w:val="30"/>
          <w:szCs w:val="30"/>
        </w:rPr>
      </w:pPr>
      <w:r>
        <w:rPr>
          <w:rFonts w:hint="eastAsia" w:ascii="黑体" w:hAnsi="黑体" w:eastAsia="黑体" w:cs="黑体"/>
          <w:sz w:val="30"/>
          <w:szCs w:val="30"/>
        </w:rPr>
        <w:t>七、教学进度总体安排</w:t>
      </w:r>
      <w:bookmarkEnd w:id="11"/>
      <w:bookmarkStart w:id="12" w:name="_Toc17573"/>
    </w:p>
    <w:p>
      <w:pPr>
        <w:pStyle w:val="3"/>
        <w:spacing w:before="40" w:after="40" w:line="360" w:lineRule="auto"/>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（一）教学活动时间分配</w:t>
      </w:r>
      <w:bookmarkEnd w:id="12"/>
    </w:p>
    <w:tbl>
      <w:tblPr>
        <w:tblStyle w:val="15"/>
        <w:tblpPr w:leftFromText="180" w:rightFromText="180" w:vertAnchor="text" w:horzAnchor="page" w:tblpX="1822" w:tblpY="134"/>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08"/>
        <w:gridCol w:w="601"/>
        <w:gridCol w:w="606"/>
        <w:gridCol w:w="603"/>
        <w:gridCol w:w="604"/>
        <w:gridCol w:w="603"/>
        <w:gridCol w:w="604"/>
        <w:gridCol w:w="603"/>
        <w:gridCol w:w="60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trPr>
        <w:tc>
          <w:tcPr>
            <w:tcW w:w="1609" w:type="pct"/>
            <w:vMerge w:val="restart"/>
            <w:vAlign w:val="center"/>
          </w:tcPr>
          <w:p>
            <w:pPr>
              <w:pStyle w:val="26"/>
              <w:jc w:val="right"/>
              <w:rPr>
                <w:rFonts w:hint="eastAsia" w:ascii="仿宋" w:hAnsi="仿宋" w:eastAsia="仿宋" w:cs="仿宋"/>
              </w:rPr>
            </w:pPr>
            <w:r>
              <mc:AlternateContent>
                <mc:Choice Requires="wps">
                  <w:drawing>
                    <wp:anchor distT="0" distB="0" distL="114300" distR="114300" simplePos="0" relativeHeight="251663360" behindDoc="0" locked="0" layoutInCell="1" allowOverlap="1">
                      <wp:simplePos x="0" y="0"/>
                      <wp:positionH relativeFrom="column">
                        <wp:posOffset>-27940</wp:posOffset>
                      </wp:positionH>
                      <wp:positionV relativeFrom="paragraph">
                        <wp:posOffset>10160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2pt;margin-top:0.8pt;height:48.3pt;width:136.05pt;z-index:251663360;mso-width-relative:page;mso-height-relative:page;" filled="f" stroked="t" coordsize="21600,21600" o:gfxdata="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NWM87P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2336;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 w:hAnsi="仿宋" w:eastAsia="仿宋" w:cs="仿宋"/>
              </w:rPr>
              <w:t>学年</w:t>
            </w:r>
          </w:p>
          <w:p>
            <w:pPr>
              <w:pStyle w:val="26"/>
              <w:jc w:val="center"/>
              <w:rPr>
                <w:rFonts w:hint="eastAsia" w:ascii="仿宋" w:hAnsi="仿宋" w:eastAsia="仿宋" w:cs="仿宋"/>
              </w:rPr>
            </w:pPr>
            <w:r>
              <w:rPr>
                <w:rFonts w:hint="eastAsia" w:ascii="仿宋" w:hAnsi="仿宋" w:eastAsia="仿宋" w:cs="仿宋"/>
              </w:rPr>
              <w:t xml:space="preserve">     周</w:t>
            </w:r>
          </w:p>
          <w:p>
            <w:pPr>
              <w:pStyle w:val="26"/>
              <w:rPr>
                <w:rFonts w:hint="eastAsia" w:ascii="仿宋" w:hAnsi="仿宋" w:eastAsia="仿宋" w:cs="仿宋"/>
              </w:rPr>
            </w:pPr>
            <w:r>
              <w:rPr>
                <w:rFonts w:hint="eastAsia" w:ascii="仿宋" w:hAnsi="仿宋" w:eastAsia="仿宋" w:cs="仿宋"/>
              </w:rPr>
              <w:t>项目</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一</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二</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三</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四</w:t>
            </w:r>
          </w:p>
        </w:tc>
        <w:tc>
          <w:tcPr>
            <w:tcW w:w="520" w:type="pct"/>
            <w:vMerge w:val="restart"/>
            <w:vAlign w:val="center"/>
          </w:tcPr>
          <w:p>
            <w:pPr>
              <w:pStyle w:val="26"/>
              <w:jc w:val="center"/>
              <w:rPr>
                <w:rFonts w:hint="eastAsia"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trPr>
        <w:tc>
          <w:tcPr>
            <w:tcW w:w="1609" w:type="pct"/>
            <w:vMerge w:val="continue"/>
            <w:vAlign w:val="center"/>
          </w:tcPr>
          <w:p>
            <w:pPr>
              <w:pStyle w:val="26"/>
              <w:rPr>
                <w:rFonts w:hint="eastAsia" w:ascii="仿宋" w:hAnsi="仿宋" w:eastAsia="仿宋" w:cs="仿宋"/>
              </w:rPr>
            </w:pP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3</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7</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8</w:t>
            </w:r>
          </w:p>
        </w:tc>
        <w:tc>
          <w:tcPr>
            <w:tcW w:w="520" w:type="pct"/>
            <w:vMerge w:val="continue"/>
            <w:vAlign w:val="center"/>
          </w:tcPr>
          <w:p>
            <w:pPr>
              <w:pStyle w:val="26"/>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trPr>
        <w:tc>
          <w:tcPr>
            <w:tcW w:w="1609" w:type="pct"/>
            <w:vAlign w:val="center"/>
          </w:tcPr>
          <w:p>
            <w:pPr>
              <w:pStyle w:val="26"/>
              <w:rPr>
                <w:rFonts w:hint="eastAsia" w:ascii="仿宋" w:hAnsi="仿宋" w:eastAsia="仿宋" w:cs="仿宋"/>
              </w:rPr>
            </w:pPr>
            <w:r>
              <w:rPr>
                <w:rFonts w:hint="eastAsia" w:ascii="仿宋" w:hAnsi="仿宋" w:eastAsia="仿宋" w:cs="仿宋"/>
              </w:rPr>
              <w:t>1.学期教育总周数小计</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20</w:t>
            </w:r>
          </w:p>
        </w:tc>
        <w:tc>
          <w:tcPr>
            <w:tcW w:w="360"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0</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rPr>
                <w:rFonts w:hint="eastAsia" w:ascii="仿宋" w:hAnsi="仿宋" w:eastAsia="仿宋" w:cs="仿宋"/>
              </w:rPr>
            </w:pPr>
            <w:r>
              <w:rPr>
                <w:rFonts w:hint="eastAsia" w:ascii="仿宋" w:hAnsi="仿宋" w:eastAsia="仿宋" w:cs="仿宋"/>
              </w:rPr>
              <w:t>其中：课堂教学</w:t>
            </w:r>
          </w:p>
        </w:tc>
        <w:tc>
          <w:tcPr>
            <w:tcW w:w="357"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16.5</w:t>
            </w:r>
          </w:p>
        </w:tc>
        <w:tc>
          <w:tcPr>
            <w:tcW w:w="360"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16</w:t>
            </w:r>
          </w:p>
        </w:tc>
        <w:tc>
          <w:tcPr>
            <w:tcW w:w="358"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17.5</w:t>
            </w:r>
          </w:p>
        </w:tc>
        <w:tc>
          <w:tcPr>
            <w:tcW w:w="359"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18</w:t>
            </w:r>
          </w:p>
        </w:tc>
        <w:tc>
          <w:tcPr>
            <w:tcW w:w="358"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18.5</w:t>
            </w:r>
          </w:p>
        </w:tc>
        <w:tc>
          <w:tcPr>
            <w:tcW w:w="359"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19</w:t>
            </w:r>
          </w:p>
        </w:tc>
        <w:tc>
          <w:tcPr>
            <w:tcW w:w="358"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2.5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集中实验、实训教学</w:t>
            </w:r>
          </w:p>
        </w:tc>
        <w:tc>
          <w:tcPr>
            <w:tcW w:w="357" w:type="pct"/>
            <w:vAlign w:val="center"/>
          </w:tcPr>
          <w:p>
            <w:pPr>
              <w:pStyle w:val="26"/>
              <w:jc w:val="center"/>
              <w:rPr>
                <w:rFonts w:hint="eastAsia" w:ascii="仿宋" w:hAnsi="仿宋" w:eastAsia="仿宋" w:cs="仿宋"/>
                <w:lang w:val="en-US" w:eastAsia="zh-CN"/>
              </w:rPr>
            </w:pPr>
            <w:r>
              <w:rPr>
                <w:rFonts w:hint="eastAsia" w:ascii="仿宋" w:hAnsi="仿宋" w:eastAsia="仿宋" w:cs="仿宋"/>
                <w:lang w:val="en-US" w:eastAsia="zh-CN"/>
              </w:rPr>
              <w:t>1</w:t>
            </w:r>
          </w:p>
        </w:tc>
        <w:tc>
          <w:tcPr>
            <w:tcW w:w="360" w:type="pct"/>
            <w:vAlign w:val="center"/>
          </w:tcPr>
          <w:p>
            <w:pPr>
              <w:pStyle w:val="26"/>
              <w:jc w:val="center"/>
              <w:rPr>
                <w:rFonts w:hint="eastAsia" w:ascii="仿宋" w:hAnsi="仿宋" w:eastAsia="仿宋" w:cs="仿宋"/>
                <w:lang w:val="en-US" w:eastAsia="zh-CN"/>
              </w:rPr>
            </w:pPr>
            <w:r>
              <w:rPr>
                <w:rFonts w:hint="eastAsia" w:ascii="仿宋" w:hAnsi="仿宋" w:eastAsia="仿宋" w:cs="仿宋"/>
                <w:lang w:val="en-US" w:eastAsia="zh-CN"/>
              </w:rPr>
              <w:t>3</w:t>
            </w:r>
          </w:p>
        </w:tc>
        <w:tc>
          <w:tcPr>
            <w:tcW w:w="358" w:type="pct"/>
            <w:vAlign w:val="center"/>
          </w:tcPr>
          <w:p>
            <w:pPr>
              <w:pStyle w:val="26"/>
              <w:jc w:val="center"/>
              <w:rPr>
                <w:rFonts w:hint="eastAsia" w:ascii="仿宋" w:hAnsi="仿宋" w:eastAsia="仿宋" w:cs="仿宋"/>
                <w:lang w:val="en-US" w:eastAsia="zh-CN"/>
              </w:rPr>
            </w:pPr>
            <w:r>
              <w:rPr>
                <w:rFonts w:hint="eastAsia" w:ascii="仿宋" w:hAnsi="仿宋" w:eastAsia="仿宋" w:cs="仿宋"/>
                <w:lang w:val="en-US" w:eastAsia="zh-CN"/>
              </w:rPr>
              <w:t>2</w:t>
            </w:r>
          </w:p>
        </w:tc>
        <w:tc>
          <w:tcPr>
            <w:tcW w:w="359" w:type="pct"/>
            <w:vAlign w:val="center"/>
          </w:tcPr>
          <w:p>
            <w:pPr>
              <w:pStyle w:val="26"/>
              <w:jc w:val="center"/>
              <w:rPr>
                <w:rFonts w:hint="eastAsia" w:ascii="仿宋" w:hAnsi="仿宋" w:eastAsia="仿宋" w:cs="仿宋"/>
                <w:lang w:val="en-US" w:eastAsia="zh-CN"/>
              </w:rPr>
            </w:pPr>
            <w:r>
              <w:rPr>
                <w:rFonts w:hint="eastAsia" w:ascii="仿宋" w:hAnsi="仿宋" w:eastAsia="仿宋" w:cs="仿宋"/>
                <w:lang w:val="en-US" w:eastAsia="zh-CN"/>
              </w:rPr>
              <w:t>1</w:t>
            </w:r>
          </w:p>
        </w:tc>
        <w:tc>
          <w:tcPr>
            <w:tcW w:w="358" w:type="pct"/>
            <w:vAlign w:val="center"/>
          </w:tcPr>
          <w:p>
            <w:pPr>
              <w:pStyle w:val="26"/>
              <w:jc w:val="center"/>
              <w:rPr>
                <w:rFonts w:hint="eastAsia" w:ascii="仿宋" w:hAnsi="仿宋" w:eastAsia="仿宋" w:cs="仿宋"/>
                <w:lang w:val="en-US" w:eastAsia="zh-CN"/>
              </w:rPr>
            </w:pPr>
            <w:r>
              <w:rPr>
                <w:rFonts w:hint="eastAsia" w:ascii="仿宋" w:hAnsi="仿宋" w:eastAsia="仿宋" w:cs="仿宋"/>
                <w:lang w:val="en-US" w:eastAsia="zh-CN"/>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default" w:ascii="仿宋" w:hAnsi="仿宋" w:eastAsia="仿宋" w:cs="仿宋"/>
                <w:lang w:val="en-US" w:eastAsia="zh-CN"/>
              </w:rPr>
            </w:pPr>
            <w:r>
              <w:rPr>
                <w:rFonts w:hint="eastAsia" w:ascii="仿宋" w:hAnsi="仿宋" w:eastAsia="仿宋" w:cs="仿宋"/>
                <w:lang w:val="en-US" w:eastAsia="zh-CN"/>
              </w:rPr>
              <w:t>11</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trPr>
        <w:tc>
          <w:tcPr>
            <w:tcW w:w="1609" w:type="pct"/>
            <w:vAlign w:val="center"/>
          </w:tcPr>
          <w:p>
            <w:pPr>
              <w:pStyle w:val="26"/>
              <w:ind w:firstLine="630" w:firstLineChars="300"/>
              <w:rPr>
                <w:rFonts w:hint="eastAsia" w:ascii="仿宋" w:hAnsi="仿宋" w:eastAsia="仿宋" w:cs="仿宋"/>
                <w:b/>
              </w:rPr>
            </w:pPr>
            <w:r>
              <w:rPr>
                <w:rFonts w:hint="eastAsia" w:ascii="仿宋" w:hAnsi="仿宋" w:eastAsia="仿宋" w:cs="仿宋"/>
              </w:rPr>
              <w:t>军事技能训练</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毕业设计（论文）</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lang w:eastAsia="zh-CN"/>
              </w:rPr>
            </w:pPr>
            <w:r>
              <w:rPr>
                <w:rFonts w:hint="eastAsia" w:ascii="仿宋" w:hAnsi="仿宋" w:eastAsia="仿宋" w:cs="仿宋"/>
                <w:lang w:val="en-US" w:eastAsia="zh-CN"/>
              </w:rPr>
              <w:t>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企业课程周</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1</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校运会</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6"/>
              <w:jc w:val="center"/>
              <w:rPr>
                <w:rFonts w:hint="eastAsia" w:ascii="仿宋" w:hAnsi="仿宋" w:cs="仿宋"/>
              </w:rPr>
            </w:pPr>
            <w:r>
              <w:rPr>
                <w:rFonts w:hint="eastAsia" w:ascii="仿宋" w:hAnsi="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rPr>
                <w:rFonts w:hint="eastAsia" w:ascii="仿宋" w:hAnsi="仿宋" w:eastAsia="仿宋" w:cs="仿宋"/>
              </w:rPr>
            </w:pPr>
            <w:r>
              <w:rPr>
                <w:rFonts w:hint="eastAsia" w:ascii="仿宋" w:hAnsi="仿宋" w:eastAsia="仿宋" w:cs="仿宋"/>
              </w:rPr>
              <w:t>2.毕业实习</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24</w:t>
            </w:r>
          </w:p>
        </w:tc>
        <w:tc>
          <w:tcPr>
            <w:tcW w:w="520" w:type="pct"/>
            <w:vAlign w:val="center"/>
          </w:tcPr>
          <w:p>
            <w:pPr>
              <w:pStyle w:val="26"/>
              <w:jc w:val="center"/>
              <w:rPr>
                <w:rFonts w:hint="eastAsia" w:ascii="仿宋" w:hAnsi="仿宋" w:cs="仿宋"/>
              </w:rPr>
            </w:pPr>
            <w:r>
              <w:rPr>
                <w:rFonts w:hint="eastAsia"/>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rPr>
                <w:rFonts w:hint="eastAsia" w:ascii="仿宋" w:hAnsi="仿宋" w:eastAsia="仿宋" w:cs="仿宋"/>
              </w:rPr>
            </w:pPr>
            <w:r>
              <w:rPr>
                <w:rFonts w:hint="eastAsia" w:ascii="仿宋" w:hAnsi="仿宋" w:eastAsia="仿宋" w:cs="仿宋"/>
              </w:rPr>
              <w:t>3.寒暑假</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1609" w:type="pct"/>
            <w:vAlign w:val="center"/>
          </w:tcPr>
          <w:p>
            <w:pPr>
              <w:pStyle w:val="26"/>
              <w:rPr>
                <w:rFonts w:hint="eastAsia" w:ascii="仿宋" w:hAnsi="仿宋" w:eastAsia="仿宋" w:cs="仿宋"/>
              </w:rPr>
            </w:pPr>
            <w:r>
              <w:rPr>
                <w:rFonts w:hint="eastAsia" w:ascii="仿宋" w:hAnsi="仿宋" w:eastAsia="仿宋" w:cs="仿宋"/>
              </w:rPr>
              <w:t>4.机动</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8</w:t>
            </w:r>
          </w:p>
        </w:tc>
      </w:tr>
    </w:tbl>
    <w:p/>
    <w:p>
      <w:pPr>
        <w:pStyle w:val="2"/>
        <w:ind w:firstLine="562" w:firstLineChars="200"/>
        <w:rPr>
          <w:rFonts w:hint="eastAsia" w:ascii="仿宋_GB2312" w:hAnsi="仿宋_GB2312" w:eastAsia="仿宋_GB2312" w:cs="仿宋_GB2312"/>
          <w:sz w:val="28"/>
          <w:szCs w:val="36"/>
        </w:rPr>
      </w:pPr>
      <w:bookmarkStart w:id="13" w:name="_Toc31832"/>
      <w:r>
        <w:rPr>
          <w:rFonts w:hint="eastAsia" w:ascii="仿宋_GB2312" w:hAnsi="仿宋_GB2312" w:eastAsia="仿宋_GB2312" w:cs="仿宋_GB2312"/>
          <w:sz w:val="28"/>
          <w:szCs w:val="36"/>
        </w:rPr>
        <w:t>（二）课程学分学时比例构成</w:t>
      </w:r>
      <w:bookmarkEnd w:id="13"/>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4</w:t>
      </w:r>
      <w:r>
        <w:rPr>
          <w:rFonts w:hint="eastAsia" w:ascii="仿宋" w:hAnsi="仿宋" w:eastAsia="仿宋" w:cs="仿宋"/>
          <w:b/>
          <w:bCs/>
          <w:sz w:val="24"/>
          <w:szCs w:val="24"/>
        </w:rPr>
        <w:t>：课程学时学分比例构成表</w:t>
      </w:r>
    </w:p>
    <w:tbl>
      <w:tblPr>
        <w:tblStyle w:val="1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8"/>
        <w:gridCol w:w="546"/>
        <w:gridCol w:w="656"/>
        <w:gridCol w:w="766"/>
        <w:gridCol w:w="766"/>
        <w:gridCol w:w="476"/>
        <w:gridCol w:w="1063"/>
        <w:gridCol w:w="642"/>
        <w:gridCol w:w="656"/>
        <w:gridCol w:w="766"/>
        <w:gridCol w:w="7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纵向结构</w:t>
            </w:r>
          </w:p>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（课程类别）</w:t>
            </w:r>
          </w:p>
        </w:tc>
        <w:tc>
          <w:tcPr>
            <w:tcW w:w="341"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w:t>
            </w:r>
          </w:p>
        </w:tc>
        <w:tc>
          <w:tcPr>
            <w:tcW w:w="315"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w:t>
            </w:r>
          </w:p>
        </w:tc>
        <w:tc>
          <w:tcPr>
            <w:tcW w:w="432" w:type="pct"/>
            <w:shd w:val="clear" w:color="auto" w:fill="auto"/>
            <w:vAlign w:val="center"/>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432" w:type="pct"/>
            <w:shd w:val="clear" w:color="auto" w:fill="auto"/>
            <w:vAlign w:val="center"/>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308" w:type="pct"/>
            <w:vMerge w:val="restart"/>
            <w:shd w:val="clear" w:color="auto" w:fill="auto"/>
            <w:vAlign w:val="center"/>
          </w:tcPr>
          <w:p>
            <w:pPr>
              <w:widowControl/>
              <w:adjustRightInd w:val="0"/>
              <w:snapToGrid w:val="0"/>
              <w:jc w:val="center"/>
              <w:rPr>
                <w:rFonts w:hint="eastAsia" w:ascii="仿宋_GB2312" w:hAnsi="仿宋_GB2312" w:eastAsia="仿宋_GB2312" w:cs="仿宋_GB2312"/>
                <w:kern w:val="0"/>
                <w:sz w:val="20"/>
                <w:szCs w:val="20"/>
              </w:rPr>
            </w:pPr>
          </w:p>
          <w:p>
            <w:pPr>
              <w:pStyle w:val="2"/>
              <w:rPr>
                <w:rFonts w:hint="eastAsia" w:ascii="仿宋_GB2312" w:hAnsi="仿宋_GB2312" w:eastAsia="仿宋_GB2312" w:cs="仿宋_GB2312"/>
                <w:b w:val="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横向结构</w:t>
            </w: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w:t>
            </w: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w:t>
            </w:r>
          </w:p>
        </w:tc>
        <w:tc>
          <w:tcPr>
            <w:tcW w:w="432" w:type="pct"/>
            <w:shd w:val="clear" w:color="auto" w:fill="auto"/>
            <w:vAlign w:val="center"/>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430" w:type="pct"/>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通识必修课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52</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980</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30.59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29.81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必修课</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145</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2888</w:t>
            </w:r>
          </w:p>
        </w:tc>
        <w:tc>
          <w:tcPr>
            <w:tcW w:w="795"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85.29 </w:t>
            </w:r>
          </w:p>
        </w:tc>
        <w:tc>
          <w:tcPr>
            <w:tcW w:w="795" w:type="dxa"/>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87.83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通识选修课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6</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96</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3.53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2.92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选修课</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25</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400</w:t>
            </w:r>
          </w:p>
        </w:tc>
        <w:tc>
          <w:tcPr>
            <w:tcW w:w="795"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14.71 </w:t>
            </w:r>
          </w:p>
        </w:tc>
        <w:tc>
          <w:tcPr>
            <w:tcW w:w="795" w:type="dxa"/>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12.17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专业通识课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14</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224</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8.24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6.81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合计</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170</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3288</w:t>
            </w:r>
          </w:p>
        </w:tc>
        <w:tc>
          <w:tcPr>
            <w:tcW w:w="795"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100</w:t>
            </w:r>
          </w:p>
        </w:tc>
        <w:tc>
          <w:tcPr>
            <w:tcW w:w="795" w:type="dxa"/>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专业基础课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22</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352</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12.94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10.71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理论学时</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1286</w:t>
            </w:r>
          </w:p>
        </w:tc>
        <w:tc>
          <w:tcPr>
            <w:tcW w:w="795"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w:t>
            </w:r>
          </w:p>
        </w:tc>
        <w:tc>
          <w:tcPr>
            <w:tcW w:w="795" w:type="dxa"/>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39.11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专业核心课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17</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272</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10.00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8.27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实践学时</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2002</w:t>
            </w:r>
          </w:p>
        </w:tc>
        <w:tc>
          <w:tcPr>
            <w:tcW w:w="795"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w:t>
            </w:r>
          </w:p>
        </w:tc>
        <w:tc>
          <w:tcPr>
            <w:tcW w:w="795" w:type="dxa"/>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60.89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专业拓展课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8</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128</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4.71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3.89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合计</w:t>
            </w:r>
          </w:p>
        </w:tc>
        <w:tc>
          <w:tcPr>
            <w:tcW w:w="651"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w:t>
            </w:r>
          </w:p>
        </w:tc>
        <w:tc>
          <w:tcPr>
            <w:tcW w:w="651" w:type="dxa"/>
            <w:shd w:val="clear" w:color="auto" w:fill="auto"/>
            <w:vAlign w:val="center"/>
          </w:tcPr>
          <w:p>
            <w:pPr>
              <w:keepNext w:val="0"/>
              <w:keepLines w:val="0"/>
              <w:widowControl/>
              <w:suppressLineNumbers w:val="0"/>
              <w:jc w:val="center"/>
              <w:textAlignment w:val="center"/>
              <w:rPr>
                <w:rFonts w:hint="default" w:ascii="仿宋_GB2312" w:hAnsi="仿宋_GB2312" w:eastAsia="仿宋_GB2312" w:cs="仿宋_GB2312"/>
                <w:kern w:val="0"/>
                <w:sz w:val="20"/>
                <w:szCs w:val="20"/>
                <w:lang w:val="en-US"/>
              </w:rPr>
            </w:pPr>
            <w:r>
              <w:rPr>
                <w:rFonts w:hint="eastAsia" w:ascii="仿宋" w:hAnsi="仿宋" w:eastAsia="仿宋" w:cs="仿宋"/>
                <w:i w:val="0"/>
                <w:iCs w:val="0"/>
                <w:color w:val="000000"/>
                <w:kern w:val="0"/>
                <w:sz w:val="22"/>
                <w:szCs w:val="22"/>
                <w:u w:val="none"/>
                <w:lang w:val="en-US" w:eastAsia="zh-CN" w:bidi="ar"/>
              </w:rPr>
              <w:t>3288</w:t>
            </w:r>
          </w:p>
        </w:tc>
        <w:tc>
          <w:tcPr>
            <w:tcW w:w="795"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w:t>
            </w:r>
          </w:p>
        </w:tc>
        <w:tc>
          <w:tcPr>
            <w:tcW w:w="795" w:type="dxa"/>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专业选修课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19</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304</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11.18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9.25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3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30" w:type="pct"/>
          </w:tcPr>
          <w:p>
            <w:pPr>
              <w:widowControl/>
              <w:jc w:val="center"/>
              <w:rPr>
                <w:rFonts w:hint="eastAsia"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综合实践课</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32</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932</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18.82 </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 xml:space="preserve">28.35 </w:t>
            </w:r>
          </w:p>
        </w:tc>
        <w:tc>
          <w:tcPr>
            <w:tcW w:w="308" w:type="pct"/>
            <w:vMerge w:val="continue"/>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3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30" w:type="pct"/>
          </w:tcPr>
          <w:p>
            <w:pPr>
              <w:widowControl/>
              <w:jc w:val="center"/>
              <w:rPr>
                <w:rFonts w:hint="eastAsia"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52" w:type="pct"/>
            <w:shd w:val="clear" w:color="auto" w:fill="auto"/>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合计</w:t>
            </w:r>
          </w:p>
        </w:tc>
        <w:tc>
          <w:tcPr>
            <w:tcW w:w="547"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170</w:t>
            </w:r>
          </w:p>
        </w:tc>
        <w:tc>
          <w:tcPr>
            <w:tcW w:w="503"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3288</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100</w:t>
            </w:r>
          </w:p>
        </w:tc>
        <w:tc>
          <w:tcPr>
            <w:tcW w:w="79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kern w:val="0"/>
                <w:sz w:val="20"/>
                <w:szCs w:val="20"/>
              </w:rPr>
            </w:pPr>
            <w:r>
              <w:rPr>
                <w:rFonts w:hint="eastAsia" w:ascii="仿宋" w:hAnsi="仿宋" w:eastAsia="仿宋" w:cs="仿宋"/>
                <w:i w:val="0"/>
                <w:iCs w:val="0"/>
                <w:color w:val="000000"/>
                <w:kern w:val="0"/>
                <w:sz w:val="22"/>
                <w:szCs w:val="22"/>
                <w:u w:val="none"/>
                <w:lang w:val="en-US" w:eastAsia="zh-CN" w:bidi="ar"/>
              </w:rPr>
              <w:t>100</w:t>
            </w:r>
          </w:p>
        </w:tc>
        <w:tc>
          <w:tcPr>
            <w:tcW w:w="308" w:type="pct"/>
            <w:vAlign w:val="center"/>
          </w:tcPr>
          <w:p>
            <w:pPr>
              <w:widowControl/>
              <w:jc w:val="center"/>
              <w:rPr>
                <w:rFonts w:hint="eastAsia" w:ascii="仿宋_GB2312" w:hAnsi="仿宋_GB2312" w:eastAsia="仿宋_GB2312" w:cs="仿宋_GB2312"/>
                <w:kern w:val="0"/>
                <w:sz w:val="20"/>
                <w:szCs w:val="20"/>
              </w:rPr>
            </w:pPr>
          </w:p>
        </w:tc>
        <w:tc>
          <w:tcPr>
            <w:tcW w:w="649"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0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32" w:type="pct"/>
            <w:shd w:val="clear" w:color="auto" w:fill="auto"/>
            <w:vAlign w:val="center"/>
          </w:tcPr>
          <w:p>
            <w:pPr>
              <w:widowControl/>
              <w:jc w:val="center"/>
              <w:rPr>
                <w:rFonts w:hint="eastAsia" w:ascii="仿宋_GB2312" w:hAnsi="仿宋_GB2312" w:eastAsia="仿宋_GB2312" w:cs="仿宋_GB2312"/>
                <w:kern w:val="0"/>
                <w:sz w:val="20"/>
                <w:szCs w:val="20"/>
              </w:rPr>
            </w:pPr>
          </w:p>
        </w:tc>
        <w:tc>
          <w:tcPr>
            <w:tcW w:w="430" w:type="pct"/>
          </w:tcPr>
          <w:p>
            <w:pPr>
              <w:widowControl/>
              <w:jc w:val="center"/>
              <w:rPr>
                <w:rFonts w:hint="eastAsia" w:ascii="仿宋_GB2312" w:hAnsi="仿宋_GB2312" w:eastAsia="仿宋_GB2312" w:cs="仿宋_GB2312"/>
                <w:kern w:val="0"/>
                <w:sz w:val="20"/>
                <w:szCs w:val="20"/>
              </w:rPr>
            </w:pPr>
          </w:p>
        </w:tc>
      </w:tr>
    </w:tbl>
    <w:p>
      <w:pPr>
        <w:pStyle w:val="2"/>
        <w:ind w:firstLine="562" w:firstLineChars="200"/>
        <w:rPr>
          <w:rFonts w:hint="eastAsia" w:ascii="仿宋_GB2312" w:hAnsi="仿宋_GB2312" w:eastAsia="仿宋_GB2312" w:cs="仿宋_GB2312"/>
          <w:sz w:val="28"/>
          <w:szCs w:val="36"/>
        </w:rPr>
      </w:pPr>
      <w:bookmarkStart w:id="14" w:name="_Toc5913"/>
      <w:r>
        <w:rPr>
          <w:rFonts w:hint="eastAsia" w:ascii="仿宋_GB2312" w:hAnsi="仿宋_GB2312" w:eastAsia="仿宋_GB2312" w:cs="仿宋_GB2312"/>
          <w:sz w:val="28"/>
          <w:szCs w:val="36"/>
        </w:rPr>
        <w:t>（三）第一课堂进程安排</w:t>
      </w:r>
      <w:bookmarkEnd w:id="14"/>
    </w:p>
    <w:p>
      <w:pPr>
        <w:pStyle w:val="4"/>
        <w:spacing w:line="240" w:lineRule="auto"/>
        <w:ind w:firstLine="560"/>
        <w:rPr>
          <w:rFonts w:hint="eastAsia" w:ascii="宋体" w:hAnsi="宋体" w:eastAsia="宋体" w:cs="宋体"/>
          <w:bCs/>
          <w:szCs w:val="21"/>
        </w:rPr>
      </w:pPr>
      <w:bookmarkStart w:id="15" w:name="_Toc1337"/>
      <w:bookmarkStart w:id="16" w:name="_Toc23969"/>
      <w:r>
        <w:rPr>
          <w:rFonts w:hint="eastAsia" w:ascii="宋体" w:hAnsi="宋体" w:eastAsia="宋体" w:cs="宋体"/>
          <w:bCs/>
          <w:szCs w:val="21"/>
        </w:rPr>
        <w:t>1. 通识教育课程安排</w:t>
      </w:r>
      <w:bookmarkEnd w:id="15"/>
      <w:bookmarkEnd w:id="16"/>
    </w:p>
    <w:tbl>
      <w:tblPr>
        <w:tblStyle w:val="15"/>
        <w:tblW w:w="492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2759"/>
        <w:gridCol w:w="990"/>
        <w:gridCol w:w="1200"/>
        <w:gridCol w:w="1230"/>
        <w:gridCol w:w="11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604" w:type="pct"/>
            <w:shd w:val="clear" w:color="auto" w:fill="auto"/>
            <w:vAlign w:val="center"/>
          </w:tcPr>
          <w:p>
            <w:pPr>
              <w:jc w:val="center"/>
              <w:rPr>
                <w:rFonts w:hint="eastAsia" w:ascii="仿宋_GB2312" w:hAnsi="仿宋_GB2312" w:eastAsia="仿宋_GB2312" w:cs="仿宋_GB2312"/>
                <w:b/>
                <w:bCs/>
                <w:szCs w:val="16"/>
              </w:rPr>
            </w:pPr>
            <w:bookmarkStart w:id="17" w:name="_Toc110195952"/>
            <w:bookmarkStart w:id="18" w:name="_Toc31667"/>
            <w:r>
              <w:rPr>
                <w:rFonts w:hint="eastAsia" w:ascii="仿宋_GB2312" w:hAnsi="仿宋_GB2312" w:eastAsia="仿宋_GB2312" w:cs="仿宋_GB2312"/>
                <w:b/>
                <w:bCs/>
                <w:szCs w:val="16"/>
              </w:rPr>
              <w:t>序号</w:t>
            </w:r>
            <w:bookmarkEnd w:id="17"/>
          </w:p>
        </w:tc>
        <w:tc>
          <w:tcPr>
            <w:tcW w:w="1645" w:type="pct"/>
            <w:shd w:val="clear" w:color="auto" w:fill="auto"/>
            <w:vAlign w:val="center"/>
          </w:tcPr>
          <w:p>
            <w:pPr>
              <w:jc w:val="center"/>
              <w:rPr>
                <w:rFonts w:hint="eastAsia" w:ascii="仿宋_GB2312" w:hAnsi="仿宋_GB2312" w:eastAsia="仿宋_GB2312" w:cs="仿宋_GB2312"/>
                <w:b/>
                <w:bCs/>
                <w:szCs w:val="16"/>
              </w:rPr>
            </w:pPr>
            <w:bookmarkStart w:id="19" w:name="_Toc110195953"/>
            <w:r>
              <w:rPr>
                <w:rFonts w:hint="eastAsia" w:ascii="仿宋_GB2312" w:hAnsi="仿宋_GB2312" w:eastAsia="仿宋_GB2312" w:cs="仿宋_GB2312"/>
                <w:b/>
                <w:bCs/>
                <w:szCs w:val="16"/>
              </w:rPr>
              <w:t>课程名称</w:t>
            </w:r>
            <w:bookmarkEnd w:id="19"/>
          </w:p>
        </w:tc>
        <w:tc>
          <w:tcPr>
            <w:tcW w:w="590" w:type="pct"/>
            <w:shd w:val="clear" w:color="auto" w:fill="auto"/>
            <w:vAlign w:val="center"/>
          </w:tcPr>
          <w:p>
            <w:pPr>
              <w:jc w:val="center"/>
              <w:rPr>
                <w:rFonts w:hint="eastAsia" w:ascii="仿宋_GB2312" w:hAnsi="仿宋_GB2312" w:eastAsia="仿宋_GB2312" w:cs="仿宋_GB2312"/>
                <w:b/>
                <w:bCs/>
                <w:szCs w:val="16"/>
              </w:rPr>
            </w:pPr>
            <w:bookmarkStart w:id="20" w:name="_Toc110195954"/>
            <w:r>
              <w:rPr>
                <w:rFonts w:hint="eastAsia" w:ascii="仿宋_GB2312" w:hAnsi="仿宋_GB2312" w:eastAsia="仿宋_GB2312" w:cs="仿宋_GB2312"/>
                <w:b/>
                <w:bCs/>
                <w:szCs w:val="16"/>
              </w:rPr>
              <w:t>课程</w:t>
            </w:r>
          </w:p>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性质</w:t>
            </w:r>
          </w:p>
        </w:tc>
        <w:tc>
          <w:tcPr>
            <w:tcW w:w="715" w:type="pct"/>
            <w:shd w:val="clear" w:color="auto" w:fill="auto"/>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课程代码</w:t>
            </w:r>
          </w:p>
        </w:tc>
        <w:tc>
          <w:tcPr>
            <w:tcW w:w="733" w:type="pct"/>
            <w:shd w:val="clear" w:color="auto" w:fill="auto"/>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学分/学时</w:t>
            </w:r>
          </w:p>
        </w:tc>
        <w:tc>
          <w:tcPr>
            <w:tcW w:w="709" w:type="pct"/>
            <w:shd w:val="clear" w:color="auto" w:fill="auto"/>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开设</w:t>
            </w:r>
            <w:bookmarkEnd w:id="20"/>
            <w:r>
              <w:rPr>
                <w:rFonts w:hint="eastAsia" w:ascii="仿宋_GB2312" w:hAnsi="仿宋_GB2312" w:eastAsia="仿宋_GB2312" w:cs="仿宋_GB2312"/>
                <w:b/>
                <w:bCs/>
                <w:szCs w:val="16"/>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1</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军事技能</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11020001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2/112</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2</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大学生安全教育（一）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95020008</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2"/>
                <w:szCs w:val="24"/>
              </w:rPr>
              <w:t>0.25/4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3</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大学生安全教育（二）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95020009</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0.25/4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4</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大学生安全教育（三）</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95020010</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0.25/4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5</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大学生安全教育（四）</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95020011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0.25/4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6</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大学生安全教育（五）</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95020012</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0.25/4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7</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大学生安全教育（六）</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95020013</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lang w:bidi="ar"/>
              </w:rPr>
            </w:pPr>
            <w:r>
              <w:rPr>
                <w:rFonts w:hint="eastAsia" w:ascii="仿宋_GB2312" w:hAnsi="仿宋_GB2312" w:eastAsia="仿宋_GB2312" w:cs="仿宋_GB2312"/>
                <w:sz w:val="22"/>
                <w:szCs w:val="24"/>
              </w:rPr>
              <w:t>0.25/4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8</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马克思主义基本原理</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49020032</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1"/>
                <w:szCs w:val="21"/>
                <w:lang w:bidi="ar"/>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9</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中国近现代史纲要</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49020003</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1"/>
                <w:szCs w:val="21"/>
                <w:lang w:bidi="ar"/>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10</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16"/>
              </w:rPr>
            </w:pPr>
            <w:r>
              <w:rPr>
                <w:rFonts w:hint="eastAsia" w:ascii="仿宋_GB2312" w:hAnsi="仿宋_GB2312" w:eastAsia="仿宋_GB2312" w:cs="仿宋_GB2312"/>
                <w:sz w:val="22"/>
                <w:szCs w:val="24"/>
              </w:rPr>
              <w:t>中华民族共同体概论</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49020021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2"/>
                <w:szCs w:val="24"/>
              </w:rPr>
              <w:t>2/36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11</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color w:val="000000"/>
                <w:sz w:val="20"/>
                <w:szCs w:val="20"/>
              </w:rPr>
            </w:pPr>
            <w:r>
              <w:rPr>
                <w:rFonts w:hint="eastAsia" w:ascii="仿宋_GB2312" w:hAnsi="仿宋_GB2312" w:eastAsia="仿宋_GB2312" w:cs="仿宋_GB2312"/>
                <w:sz w:val="22"/>
                <w:szCs w:val="24"/>
              </w:rPr>
              <w:t>军事理论</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11020002</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2/36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12</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形势与政策（一）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49020026</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0.33/8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13</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形势与政策（二）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49020027</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0.33/8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14</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形势与政策（三）</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49020028</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0.33/8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15</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形势与政策（四）</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49020029</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0.33/8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16</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形势与政策（五）</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49020030</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0.33/8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17</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形势与政策（六）</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49020031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0.33/8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18</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思想道德与法治</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49020001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19</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国家安全教育</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default" w:ascii="Helvetica" w:hAnsi="Helvetica" w:eastAsia="Helvetica" w:cs="Helvetica"/>
                <w:i w:val="0"/>
                <w:iCs w:val="0"/>
                <w:color w:val="333333"/>
                <w:kern w:val="0"/>
                <w:sz w:val="18"/>
                <w:szCs w:val="18"/>
                <w:u w:val="none"/>
                <w:lang w:val="en-US" w:eastAsia="zh-CN" w:bidi="ar"/>
              </w:rPr>
              <w:t>49020020</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1.5/24</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20</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毛泽东思想和中国特色社会主义理论体系概论</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49020033</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2/32</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21</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习近平新时代中国特色社会主义思想概论</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49020005</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22</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大学生心理健康教育（一）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22020052</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23</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大学生心理健康教育（二）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22020053</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24</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大学生职业发展与就业指导（一）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22020054</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25</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32"/>
                <w:szCs w:val="28"/>
              </w:rPr>
            </w:pPr>
            <w:r>
              <w:rPr>
                <w:rFonts w:hint="eastAsia" w:ascii="仿宋_GB2312" w:hAnsi="仿宋_GB2312" w:eastAsia="仿宋_GB2312" w:cs="仿宋_GB2312"/>
                <w:sz w:val="22"/>
                <w:szCs w:val="24"/>
              </w:rPr>
              <w:t>大学生创新与创业实务（一）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22020056</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26</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32"/>
                <w:szCs w:val="28"/>
              </w:rPr>
            </w:pPr>
            <w:r>
              <w:rPr>
                <w:rFonts w:hint="eastAsia" w:ascii="仿宋_GB2312" w:hAnsi="仿宋_GB2312" w:eastAsia="仿宋_GB2312" w:cs="仿宋_GB2312"/>
                <w:sz w:val="22"/>
                <w:szCs w:val="24"/>
              </w:rPr>
              <w:t>大学生职业发展与就业指导（二）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22020055</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27</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32"/>
                <w:szCs w:val="28"/>
              </w:rPr>
            </w:pPr>
            <w:r>
              <w:rPr>
                <w:rFonts w:hint="eastAsia" w:ascii="仿宋_GB2312" w:hAnsi="仿宋_GB2312" w:eastAsia="仿宋_GB2312" w:cs="仿宋_GB2312"/>
                <w:sz w:val="22"/>
                <w:szCs w:val="24"/>
              </w:rPr>
              <w:t>大学生创新与创业实务（二）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22020057</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kern w:val="0"/>
                <w:sz w:val="20"/>
                <w:szCs w:val="20"/>
                <w:lang w:bidi="ar"/>
              </w:rPr>
            </w:pPr>
            <w:r>
              <w:rPr>
                <w:rFonts w:hint="eastAsia" w:ascii="仿宋_GB2312" w:hAnsi="仿宋_GB2312" w:eastAsia="仿宋_GB2312" w:cs="仿宋_GB2312"/>
                <w:sz w:val="22"/>
                <w:szCs w:val="24"/>
              </w:rPr>
              <w:t>28</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大学体育（一）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22020058</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1.5/36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kern w:val="0"/>
                <w:sz w:val="20"/>
                <w:szCs w:val="20"/>
                <w:lang w:bidi="ar"/>
              </w:rPr>
            </w:pPr>
            <w:r>
              <w:rPr>
                <w:rFonts w:hint="eastAsia" w:ascii="仿宋_GB2312" w:hAnsi="仿宋_GB2312" w:eastAsia="仿宋_GB2312" w:cs="仿宋_GB2312"/>
                <w:sz w:val="22"/>
                <w:szCs w:val="24"/>
              </w:rPr>
              <w:t>29</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sz w:val="22"/>
                <w:szCs w:val="24"/>
              </w:rPr>
              <w:t>大学体育（二）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必修课</w:t>
            </w:r>
          </w:p>
        </w:tc>
        <w:tc>
          <w:tcPr>
            <w:tcW w:w="715" w:type="pct"/>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rPr>
            </w:pPr>
            <w:r>
              <w:rPr>
                <w:rFonts w:hint="eastAsia" w:ascii="仿宋" w:hAnsi="仿宋" w:eastAsia="仿宋" w:cs="仿宋"/>
                <w:i w:val="0"/>
                <w:iCs w:val="0"/>
                <w:color w:val="000000"/>
                <w:kern w:val="0"/>
                <w:sz w:val="22"/>
                <w:szCs w:val="22"/>
                <w:u w:val="none"/>
                <w:lang w:val="en-US" w:eastAsia="zh-CN" w:bidi="ar"/>
              </w:rPr>
              <w:t>22020059</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Cs w:val="21"/>
              </w:rPr>
            </w:pPr>
            <w:r>
              <w:rPr>
                <w:rFonts w:hint="eastAsia" w:ascii="仿宋_GB2312" w:hAnsi="仿宋_GB2312" w:eastAsia="仿宋_GB2312" w:cs="仿宋_GB2312"/>
                <w:sz w:val="22"/>
                <w:szCs w:val="24"/>
              </w:rPr>
              <w:t>1.5/36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Cs w:val="22"/>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30</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大学体育（三）</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22020060</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31</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大学体育（四）</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22020061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1.5/36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32</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大学英语（一）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22020062</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33</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大学英语（二）</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22020063</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信息技术</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17020066</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3/48</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35</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艺术修养</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21020001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2/32</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36</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人工智能应用基础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17020002</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2/32</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37</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精益生产与管理基础</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必修课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19020112/20029999</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604"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38</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中国共产党简史、社会主义发展史、新中国史、改革开放史</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限定选修课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49020019</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eastAsia" w:ascii="仿宋_GB2312" w:hAnsi="仿宋_GB2312" w:eastAsia="仿宋_GB2312" w:cs="仿宋_GB2312"/>
                <w:sz w:val="22"/>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default" w:ascii="仿宋_GB2312" w:hAnsi="仿宋_GB2312" w:eastAsia="仿宋_GB2312" w:cs="仿宋_GB2312"/>
                <w:sz w:val="22"/>
                <w:szCs w:val="24"/>
                <w:lang w:val="en-US"/>
              </w:rPr>
            </w:pPr>
            <w:r>
              <w:rPr>
                <w:rFonts w:hint="eastAsia" w:ascii="仿宋_GB2312" w:hAnsi="仿宋_GB2312" w:eastAsia="仿宋_GB2312" w:cs="仿宋_GB2312"/>
                <w:sz w:val="22"/>
                <w:szCs w:val="24"/>
                <w:lang w:val="en-US" w:eastAsia="zh-CN"/>
              </w:rPr>
              <w:t>39</w:t>
            </w:r>
          </w:p>
        </w:tc>
        <w:tc>
          <w:tcPr>
            <w:tcW w:w="164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应用文写作</w:t>
            </w:r>
          </w:p>
        </w:tc>
        <w:tc>
          <w:tcPr>
            <w:tcW w:w="590"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限定选修课</w:t>
            </w:r>
          </w:p>
        </w:tc>
        <w:tc>
          <w:tcPr>
            <w:tcW w:w="715"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lang w:val="en-US" w:eastAsia="zh-CN"/>
              </w:rPr>
              <w:t>22020071</w:t>
            </w:r>
          </w:p>
        </w:tc>
        <w:tc>
          <w:tcPr>
            <w:tcW w:w="733" w:type="pct"/>
            <w:shd w:val="clear" w:color="auto" w:fill="auto"/>
            <w:vAlign w:val="center"/>
          </w:tcPr>
          <w:p>
            <w:pPr>
              <w:pStyle w:val="39"/>
              <w:spacing w:line="260" w:lineRule="exact"/>
              <w:jc w:val="center"/>
              <w:rPr>
                <w:rFonts w:hint="eastAsia" w:ascii="仿宋_GB2312" w:hAnsi="仿宋_GB2312" w:eastAsia="仿宋_GB2312" w:cs="仿宋_GB2312"/>
                <w:sz w:val="22"/>
                <w:szCs w:val="24"/>
              </w:rPr>
            </w:pPr>
            <w:r>
              <w:rPr>
                <w:rFonts w:hint="eastAsia" w:ascii="仿宋_GB2312" w:hAnsi="仿宋_GB2312" w:eastAsia="仿宋_GB2312" w:cs="仿宋_GB2312"/>
                <w:sz w:val="22"/>
                <w:szCs w:val="24"/>
              </w:rPr>
              <w:t>1/16</w:t>
            </w:r>
          </w:p>
        </w:tc>
        <w:tc>
          <w:tcPr>
            <w:tcW w:w="709" w:type="pct"/>
            <w:shd w:val="clear" w:color="auto" w:fill="auto"/>
            <w:vAlign w:val="center"/>
          </w:tcPr>
          <w:p>
            <w:pPr>
              <w:pStyle w:val="39"/>
              <w:spacing w:line="260" w:lineRule="exact"/>
              <w:jc w:val="center"/>
              <w:rPr>
                <w:rFonts w:hint="default" w:ascii="仿宋_GB2312" w:hAnsi="仿宋_GB2312" w:eastAsia="仿宋_GB2312" w:cs="仿宋_GB2312"/>
                <w:sz w:val="22"/>
                <w:szCs w:val="24"/>
                <w:lang w:val="en-US" w:eastAsia="zh-CN"/>
              </w:rPr>
            </w:pPr>
            <w:r>
              <w:rPr>
                <w:rFonts w:hint="eastAsia" w:ascii="仿宋_GB2312" w:hAnsi="仿宋_GB2312" w:eastAsia="仿宋_GB2312" w:cs="仿宋_GB2312"/>
                <w:sz w:val="22"/>
                <w:szCs w:val="24"/>
                <w:lang w:val="en-US" w:eastAsia="zh-CN"/>
              </w:rPr>
              <w:t>3</w:t>
            </w:r>
          </w:p>
        </w:tc>
      </w:tr>
    </w:tbl>
    <w:p>
      <w:pPr>
        <w:spacing w:line="440" w:lineRule="exact"/>
        <w:ind w:firstLine="480" w:firstLineChars="200"/>
        <w:rPr>
          <w:rFonts w:hint="eastAsia" w:ascii="仿宋_GB2312" w:hAnsi="仿宋_GB2312" w:eastAsia="仿宋_GB2312" w:cs="仿宋_GB2312"/>
          <w:sz w:val="24"/>
        </w:rPr>
      </w:pPr>
      <w:r>
        <w:rPr>
          <w:rFonts w:hint="eastAsia" w:ascii="仿宋_GB2312" w:hAnsi="仿宋_GB2312" w:eastAsia="仿宋_GB2312" w:cs="仿宋_GB2312"/>
          <w:sz w:val="24"/>
        </w:rPr>
        <w:t>注：《信息技术》课程，机电工程学院、电子信息工程学院在第1学期开设，汽车工程学院、财经与物流管理学院、贸易与旅游管理学院安排在第2学期开设；《艺术修养》课程，汽车工程学院、财经与物流管理学院、贸易与旅游管理学院安排在第3学期开设，机电工程学院、电子信息工程学院安排在第4学期开设。</w:t>
      </w:r>
    </w:p>
    <w:p>
      <w:pPr>
        <w:spacing w:line="440" w:lineRule="exact"/>
        <w:ind w:firstLine="480" w:firstLineChars="200"/>
        <w:rPr>
          <w:rFonts w:hint="eastAsia" w:ascii="仿宋_GB2312" w:hAnsi="仿宋_GB2312" w:eastAsia="仿宋_GB2312" w:cs="仿宋_GB2312"/>
          <w:sz w:val="24"/>
        </w:rPr>
      </w:pPr>
      <w:r>
        <w:rPr>
          <w:rFonts w:hint="eastAsia" w:ascii="仿宋_GB2312" w:hAnsi="仿宋_GB2312" w:eastAsia="仿宋_GB2312" w:cs="仿宋_GB2312"/>
          <w:sz w:val="24"/>
        </w:rPr>
        <w:t>《精益生产与管理基础》课程，机电工程学院、贸易与旅游管理学院安排在第3学期开设，汽车工程学院、电子信息工程学院安排在第4学期开设；</w:t>
      </w:r>
    </w:p>
    <w:p>
      <w:pPr>
        <w:spacing w:line="440" w:lineRule="exact"/>
        <w:ind w:firstLine="480" w:firstLineChars="200"/>
        <w:rPr>
          <w:rFonts w:hint="eastAsia" w:ascii="仿宋_GB2312" w:hAnsi="仿宋_GB2312" w:eastAsia="仿宋_GB2312" w:cs="仿宋_GB2312"/>
          <w:sz w:val="24"/>
        </w:rPr>
      </w:pPr>
      <w:r>
        <w:rPr>
          <w:rFonts w:hint="eastAsia" w:ascii="仿宋_GB2312" w:hAnsi="仿宋_GB2312" w:eastAsia="仿宋_GB2312" w:cs="仿宋_GB2312"/>
          <w:sz w:val="24"/>
        </w:rPr>
        <w:t>《人工智能应用基础》机电工程学院、电子信息工程学院、贸易与旅游管理学院安排在第2学期开设，汽车工程学院、财经与物流管理学院安排在第3学期开设。</w:t>
      </w:r>
    </w:p>
    <w:p>
      <w:pPr>
        <w:pStyle w:val="4"/>
        <w:spacing w:line="240" w:lineRule="auto"/>
        <w:ind w:firstLine="560"/>
        <w:rPr>
          <w:rFonts w:hint="eastAsia" w:ascii="宋体" w:hAnsi="宋体" w:eastAsia="宋体" w:cs="宋体"/>
          <w:bCs/>
          <w:szCs w:val="21"/>
        </w:rPr>
      </w:pPr>
      <w:r>
        <w:rPr>
          <w:rFonts w:hint="eastAsia" w:ascii="宋体" w:hAnsi="宋体" w:eastAsia="宋体" w:cs="宋体"/>
          <w:bCs/>
          <w:szCs w:val="21"/>
        </w:rPr>
        <w:t>2. 专业教育课程安排</w:t>
      </w:r>
    </w:p>
    <w:p/>
    <w:p>
      <w:pPr>
        <w:pStyle w:val="40"/>
        <w:rPr>
          <w:rFonts w:ascii="Times New Roman" w:hAnsi="Times New Roman" w:eastAsia="仿宋_GB2312" w:cs="Times New Roman"/>
          <w:sz w:val="24"/>
        </w:rPr>
      </w:pPr>
      <w:r>
        <w:rPr>
          <w:rFonts w:hint="eastAsia" w:ascii="Times New Roman" w:hAnsi="Times New Roman" w:eastAsia="仿宋_GB2312" w:cs="Times New Roman"/>
          <w:sz w:val="24"/>
        </w:rPr>
        <w:t>表</w:t>
      </w:r>
      <w:r>
        <w:rPr>
          <w:rFonts w:hint="eastAsia" w:ascii="Times New Roman" w:hAnsi="Times New Roman" w:eastAsia="仿宋_GB2312" w:cs="Times New Roman"/>
          <w:sz w:val="24"/>
          <w:lang w:val="en-US" w:eastAsia="zh-CN"/>
        </w:rPr>
        <w:t>5</w:t>
      </w:r>
      <w:r>
        <w:rPr>
          <w:rFonts w:hint="eastAsia" w:ascii="Times New Roman" w:hAnsi="Times New Roman" w:eastAsia="仿宋_GB2312" w:cs="Times New Roman"/>
          <w:sz w:val="24"/>
        </w:rPr>
        <w:t xml:space="preserve"> 专业教育课程安排表</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6"/>
        <w:gridCol w:w="2247"/>
        <w:gridCol w:w="1022"/>
        <w:gridCol w:w="2001"/>
        <w:gridCol w:w="1142"/>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846" w:type="dxa"/>
            <w:shd w:val="clear" w:color="auto" w:fill="auto"/>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序号</w:t>
            </w:r>
          </w:p>
        </w:tc>
        <w:tc>
          <w:tcPr>
            <w:tcW w:w="2481" w:type="dxa"/>
            <w:shd w:val="clear" w:color="auto" w:fill="auto"/>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课程名称</w:t>
            </w:r>
          </w:p>
        </w:tc>
        <w:tc>
          <w:tcPr>
            <w:tcW w:w="1122" w:type="dxa"/>
            <w:shd w:val="clear" w:color="auto" w:fill="auto"/>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课程性质</w:t>
            </w:r>
          </w:p>
        </w:tc>
        <w:tc>
          <w:tcPr>
            <w:tcW w:w="1181" w:type="dxa"/>
            <w:shd w:val="clear" w:color="auto" w:fill="auto"/>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课程代码</w:t>
            </w:r>
          </w:p>
        </w:tc>
        <w:tc>
          <w:tcPr>
            <w:tcW w:w="1192" w:type="dxa"/>
            <w:shd w:val="clear" w:color="auto" w:fill="auto"/>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学分/学时</w:t>
            </w:r>
          </w:p>
        </w:tc>
        <w:tc>
          <w:tcPr>
            <w:tcW w:w="1449" w:type="dxa"/>
            <w:shd w:val="clear" w:color="auto" w:fill="auto"/>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rPr>
            </w:pPr>
            <w:r>
              <w:rPr>
                <w:rFonts w:hint="eastAsia" w:ascii="仿宋_GB2312" w:hAnsi="仿宋_GB2312" w:eastAsia="仿宋_GB2312" w:cs="仿宋_GB2312"/>
              </w:rPr>
              <w:t>1</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入学教育与专业入门</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15020027</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1/16</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rPr>
            </w:pPr>
            <w:r>
              <w:rPr>
                <w:rFonts w:hint="eastAsia" w:ascii="仿宋_GB2312" w:hAnsi="仿宋_GB2312" w:eastAsia="仿宋_GB2312" w:cs="仿宋_GB2312"/>
              </w:rPr>
              <w:t>2</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高等数学</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22020064/22020065</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8/128</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rPr>
            </w:pPr>
            <w:r>
              <w:rPr>
                <w:rFonts w:hint="eastAsia" w:ascii="仿宋_GB2312" w:hAnsi="仿宋_GB2312" w:eastAsia="仿宋_GB2312" w:cs="仿宋_GB2312"/>
              </w:rPr>
              <w:t>3</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线性代数</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22020067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w:t>
            </w:r>
            <w:r>
              <w:rPr>
                <w:rFonts w:hint="eastAsia" w:ascii="仿宋_GB2312" w:hAnsi="仿宋_GB2312" w:eastAsia="仿宋_GB2312" w:cs="仿宋_GB2312"/>
              </w:rPr>
              <w:t>/</w:t>
            </w:r>
            <w:r>
              <w:rPr>
                <w:rFonts w:hint="eastAsia" w:ascii="仿宋_GB2312" w:hAnsi="仿宋_GB2312" w:eastAsia="仿宋_GB2312" w:cs="仿宋_GB2312"/>
                <w:lang w:val="en-US" w:eastAsia="zh-CN"/>
              </w:rPr>
              <w:t>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rPr>
            </w:pPr>
            <w:r>
              <w:rPr>
                <w:rFonts w:hint="eastAsia" w:ascii="仿宋_GB2312" w:hAnsi="仿宋_GB2312" w:eastAsia="仿宋_GB2312" w:cs="仿宋_GB2312"/>
              </w:rPr>
              <w:t>4</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劳动教育—工业·匠心</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15020029</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大学物理</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15020033</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电工与电子技术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15020209</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5/80</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机械制图</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15020132</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机械设计基础</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15020219</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4/64</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9</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机械制造技术基础</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15020221</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10</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工程力学</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15020215</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11</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电气控制与PLC应用技术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15020110</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液压与气动技术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15020230</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13</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数字化设计与仿真</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15020148</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14</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电机与运动控制技术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15020210</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2.5/40</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15</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工业机器人应用技术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15020119</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数控机床编程与操作</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15020139</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17</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电气控制系统设计与装调</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15020107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2.5/40</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18</w:t>
            </w:r>
          </w:p>
        </w:tc>
        <w:tc>
          <w:tcPr>
            <w:tcW w:w="2481"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机电产品数字孪生技术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15020237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2.5/40</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19</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自动化生产线设计与调试</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15020157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3.5/56</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工业控制网络技术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15020121</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2/32</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21</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传感器与视觉检测技术</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15020207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22</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机电设备故障诊断与维修</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15020017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rPr>
            </w:pPr>
            <w:r>
              <w:rPr>
                <w:rFonts w:hint="eastAsia" w:ascii="仿宋_GB2312" w:hAnsi="仿宋_GB2312" w:eastAsia="仿宋_GB2312" w:cs="仿宋_GB2312"/>
                <w:lang w:val="en-US" w:eastAsia="zh-CN"/>
              </w:rPr>
              <w:t>3/48</w:t>
            </w:r>
          </w:p>
        </w:tc>
        <w:tc>
          <w:tcPr>
            <w:tcW w:w="1449"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23</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电工技能实训</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15020023</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2/60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24</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CAD工程图绘制</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15020097</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1/30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eastAsia"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25</w:t>
            </w:r>
          </w:p>
        </w:tc>
        <w:tc>
          <w:tcPr>
            <w:tcW w:w="2481"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机电产品创新设计</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15020125</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1/30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26</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智能制造产线调试与运行</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15020151</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2/60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27</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课程设计1：机械零件测绘</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15020162</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1/30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28</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课程设计2：PLC项目设计</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15020163</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1/30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29</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课程设计3：机械产品数字化设计与仿真</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15020167</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1/30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30</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课程设计4：机械零部件数控加工</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15020171</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1/30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31</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毕业设计</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15020098</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5/120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kern w:val="2"/>
                <w:sz w:val="21"/>
                <w:szCs w:val="24"/>
                <w:lang w:val="en-US" w:eastAsia="zh-CN" w:bidi="ar-SA"/>
              </w:rPr>
            </w:pPr>
            <w:r>
              <w:rPr>
                <w:rFonts w:hint="eastAsia" w:ascii="仿宋_GB2312" w:hAnsi="仿宋_GB2312" w:eastAsia="仿宋_GB2312" w:cs="仿宋_GB2312"/>
                <w:lang w:val="en-US" w:eastAsia="zh-CN"/>
              </w:rPr>
              <w:t>32</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综合实践</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15020160</w:t>
            </w:r>
          </w:p>
        </w:tc>
        <w:tc>
          <w:tcPr>
            <w:tcW w:w="1192"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8/240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shd w:val="clear" w:color="auto" w:fill="auto"/>
            <w:vAlign w:val="center"/>
          </w:tcPr>
          <w:p>
            <w:pPr>
              <w:pStyle w:val="39"/>
              <w:spacing w:line="28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33</w:t>
            </w:r>
          </w:p>
        </w:tc>
        <w:tc>
          <w:tcPr>
            <w:tcW w:w="2481"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岗位实习</w:t>
            </w:r>
          </w:p>
        </w:tc>
        <w:tc>
          <w:tcPr>
            <w:tcW w:w="112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rPr>
              <w:t>必修课</w:t>
            </w:r>
          </w:p>
        </w:tc>
        <w:tc>
          <w:tcPr>
            <w:tcW w:w="1181" w:type="dxa"/>
            <w:shd w:val="clear" w:color="auto" w:fill="auto"/>
            <w:vAlign w:val="center"/>
          </w:tcPr>
          <w:p>
            <w:pPr>
              <w:pStyle w:val="39"/>
              <w:spacing w:line="260" w:lineRule="exact"/>
              <w:jc w:val="center"/>
              <w:rPr>
                <w:rFonts w:hint="eastAsia" w:ascii="仿宋_GB2312" w:hAnsi="仿宋_GB2312" w:eastAsia="仿宋_GB2312" w:cs="仿宋_GB2312"/>
              </w:rPr>
            </w:pPr>
            <w:r>
              <w:rPr>
                <w:rFonts w:hint="eastAsia" w:ascii="仿宋_GB2312" w:hAnsi="仿宋_GB2312" w:eastAsia="仿宋_GB2312" w:cs="仿宋_GB2312"/>
              </w:rPr>
              <w:t>15020113</w:t>
            </w:r>
          </w:p>
        </w:tc>
        <w:tc>
          <w:tcPr>
            <w:tcW w:w="1192" w:type="dxa"/>
            <w:shd w:val="clear" w:color="auto" w:fill="auto"/>
            <w:vAlign w:val="center"/>
          </w:tcPr>
          <w:p>
            <w:pPr>
              <w:pStyle w:val="39"/>
              <w:spacing w:line="260" w:lineRule="exact"/>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8/240</w:t>
            </w:r>
          </w:p>
        </w:tc>
        <w:tc>
          <w:tcPr>
            <w:tcW w:w="1449" w:type="dxa"/>
            <w:shd w:val="clear" w:color="auto" w:fill="auto"/>
            <w:vAlign w:val="center"/>
          </w:tcPr>
          <w:p>
            <w:pPr>
              <w:pStyle w:val="39"/>
              <w:spacing w:line="260" w:lineRule="exact"/>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r>
    </w:tbl>
    <w:p>
      <w:pPr>
        <w:pStyle w:val="2"/>
        <w:spacing w:line="440" w:lineRule="exact"/>
        <w:ind w:firstLine="440" w:firstLineChars="200"/>
        <w:rPr>
          <w:rFonts w:hint="eastAsia" w:ascii="仿宋_GB2312" w:hAnsi="仿宋_GB2312" w:eastAsia="仿宋_GB2312" w:cs="仿宋_GB2312"/>
          <w:b w:val="0"/>
          <w:bCs/>
          <w:sz w:val="22"/>
          <w:szCs w:val="28"/>
          <w:lang w:eastAsia="zh-CN"/>
        </w:rPr>
      </w:pPr>
      <w:r>
        <w:rPr>
          <w:rFonts w:hint="eastAsia" w:ascii="仿宋_GB2312" w:hAnsi="仿宋_GB2312" w:eastAsia="仿宋_GB2312" w:cs="仿宋_GB2312"/>
          <w:b w:val="0"/>
          <w:bCs/>
          <w:sz w:val="22"/>
          <w:szCs w:val="28"/>
        </w:rPr>
        <w:t>注：限定选修课（含专业限定选修课）学生应修读并获得相应学分。《经济数学》财经商贸类专业必修，《高等数学》理工类专业必修，《线性代数》理工类专业必修；财经商贸类专业选修</w:t>
      </w:r>
      <w:r>
        <w:rPr>
          <w:rFonts w:hint="eastAsia" w:ascii="仿宋_GB2312" w:hAnsi="仿宋_GB2312" w:eastAsia="仿宋_GB2312" w:cs="仿宋_GB2312"/>
          <w:b w:val="0"/>
          <w:bCs/>
          <w:sz w:val="22"/>
          <w:szCs w:val="28"/>
          <w:lang w:eastAsia="zh-CN"/>
        </w:rPr>
        <w:t>。</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（四）第二课堂活动安排</w:t>
      </w:r>
      <w:bookmarkEnd w:id="18"/>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（详见“十、附录  （二）第二课堂活动安排”）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2.专业教育模块第二课堂活动安排</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6</w:t>
      </w:r>
      <w:r>
        <w:rPr>
          <w:rFonts w:hint="eastAsia" w:ascii="仿宋" w:hAnsi="仿宋" w:eastAsia="仿宋" w:cs="仿宋"/>
          <w:b/>
          <w:bCs/>
          <w:sz w:val="24"/>
          <w:szCs w:val="24"/>
        </w:rPr>
        <w:t xml:space="preserve"> 专业教育模块第二课堂活动安排表</w:t>
      </w:r>
    </w:p>
    <w:tbl>
      <w:tblPr>
        <w:tblStyle w:val="16"/>
        <w:tblW w:w="9243" w:type="dxa"/>
        <w:tblInd w:w="-3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880"/>
        <w:gridCol w:w="474"/>
        <w:gridCol w:w="672"/>
        <w:gridCol w:w="672"/>
        <w:gridCol w:w="672"/>
        <w:gridCol w:w="672"/>
        <w:gridCol w:w="672"/>
        <w:gridCol w:w="672"/>
        <w:gridCol w:w="672"/>
        <w:gridCol w:w="676"/>
        <w:gridCol w:w="10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508" w:type="dxa"/>
            <w:vMerge w:val="restart"/>
            <w:vAlign w:val="center"/>
          </w:tcPr>
          <w:p>
            <w:pPr>
              <w:pStyle w:val="2"/>
              <w:spacing w:line="360" w:lineRule="auto"/>
              <w:jc w:val="center"/>
              <w:rPr>
                <w:rFonts w:hint="eastAsia" w:ascii="仿宋_GB2312" w:hAnsi="仿宋_GB2312" w:eastAsia="仿宋_GB2312" w:cs="仿宋_GB2312"/>
                <w:sz w:val="24"/>
              </w:rPr>
            </w:pPr>
            <w:bookmarkStart w:id="21" w:name="_Toc0"/>
            <w:bookmarkStart w:id="22" w:name="_Toc4696"/>
            <w:r>
              <w:rPr>
                <w:rFonts w:hint="eastAsia" w:ascii="仿宋_GB2312" w:hAnsi="仿宋_GB2312" w:eastAsia="仿宋_GB2312" w:cs="仿宋_GB2312"/>
                <w:sz w:val="24"/>
              </w:rPr>
              <w:t>序号</w:t>
            </w:r>
            <w:bookmarkEnd w:id="21"/>
            <w:bookmarkEnd w:id="22"/>
          </w:p>
        </w:tc>
        <w:tc>
          <w:tcPr>
            <w:tcW w:w="1880" w:type="dxa"/>
            <w:vMerge w:val="restart"/>
            <w:vAlign w:val="center"/>
          </w:tcPr>
          <w:p>
            <w:pPr>
              <w:pStyle w:val="2"/>
              <w:spacing w:line="360" w:lineRule="auto"/>
              <w:jc w:val="center"/>
              <w:rPr>
                <w:rFonts w:hint="eastAsia" w:ascii="仿宋_GB2312" w:hAnsi="仿宋_GB2312" w:eastAsia="仿宋_GB2312" w:cs="仿宋_GB2312"/>
                <w:sz w:val="24"/>
              </w:rPr>
            </w:pPr>
            <w:bookmarkStart w:id="23" w:name="_Toc10937"/>
            <w:bookmarkStart w:id="24" w:name="_Toc28053"/>
            <w:r>
              <w:rPr>
                <w:rFonts w:hint="eastAsia" w:ascii="仿宋_GB2312" w:hAnsi="仿宋_GB2312" w:eastAsia="仿宋_GB2312" w:cs="仿宋_GB2312"/>
                <w:sz w:val="24"/>
              </w:rPr>
              <w:t>活动名称</w:t>
            </w:r>
            <w:bookmarkEnd w:id="23"/>
            <w:bookmarkEnd w:id="24"/>
          </w:p>
        </w:tc>
        <w:tc>
          <w:tcPr>
            <w:tcW w:w="474" w:type="dxa"/>
            <w:vMerge w:val="restart"/>
            <w:vAlign w:val="center"/>
          </w:tcPr>
          <w:p>
            <w:pPr>
              <w:pStyle w:val="2"/>
              <w:spacing w:line="360" w:lineRule="auto"/>
              <w:jc w:val="center"/>
              <w:rPr>
                <w:rFonts w:hint="eastAsia" w:ascii="仿宋_GB2312" w:hAnsi="仿宋_GB2312" w:eastAsia="仿宋_GB2312" w:cs="仿宋_GB2312"/>
                <w:sz w:val="24"/>
              </w:rPr>
            </w:pPr>
            <w:bookmarkStart w:id="25" w:name="_Toc23007"/>
            <w:bookmarkStart w:id="26" w:name="_Toc21917"/>
            <w:r>
              <w:rPr>
                <w:rFonts w:hint="eastAsia" w:ascii="仿宋_GB2312" w:hAnsi="仿宋_GB2312" w:eastAsia="仿宋_GB2312" w:cs="仿宋_GB2312"/>
                <w:sz w:val="24"/>
              </w:rPr>
              <w:t>活动分</w:t>
            </w:r>
            <w:bookmarkEnd w:id="25"/>
            <w:bookmarkEnd w:id="26"/>
          </w:p>
        </w:tc>
        <w:tc>
          <w:tcPr>
            <w:tcW w:w="5380" w:type="dxa"/>
            <w:gridSpan w:val="8"/>
            <w:vAlign w:val="center"/>
          </w:tcPr>
          <w:p>
            <w:pPr>
              <w:pStyle w:val="2"/>
              <w:spacing w:line="360" w:lineRule="auto"/>
              <w:jc w:val="center"/>
              <w:rPr>
                <w:rFonts w:hint="eastAsia" w:ascii="仿宋_GB2312" w:hAnsi="仿宋_GB2312" w:eastAsia="仿宋_GB2312" w:cs="仿宋_GB2312"/>
                <w:sz w:val="24"/>
              </w:rPr>
            </w:pPr>
            <w:bookmarkStart w:id="27" w:name="_Toc9657"/>
            <w:bookmarkStart w:id="28" w:name="_Toc31724"/>
            <w:r>
              <w:rPr>
                <w:rFonts w:hint="eastAsia" w:ascii="仿宋_GB2312" w:hAnsi="仿宋_GB2312" w:eastAsia="仿宋_GB2312" w:cs="仿宋_GB2312"/>
                <w:sz w:val="24"/>
              </w:rPr>
              <w:t>学期安排</w:t>
            </w:r>
            <w:bookmarkEnd w:id="27"/>
            <w:bookmarkEnd w:id="28"/>
          </w:p>
        </w:tc>
        <w:tc>
          <w:tcPr>
            <w:tcW w:w="1001" w:type="dxa"/>
            <w:vMerge w:val="restart"/>
            <w:vAlign w:val="center"/>
          </w:tcPr>
          <w:p>
            <w:pPr>
              <w:pStyle w:val="2"/>
              <w:spacing w:line="360" w:lineRule="auto"/>
              <w:jc w:val="center"/>
              <w:rPr>
                <w:rFonts w:hint="eastAsia" w:ascii="仿宋_GB2312" w:hAnsi="仿宋_GB2312" w:eastAsia="仿宋_GB2312" w:cs="仿宋_GB2312"/>
                <w:sz w:val="24"/>
              </w:rPr>
            </w:pPr>
            <w:bookmarkStart w:id="29" w:name="_Toc31866"/>
            <w:bookmarkStart w:id="30" w:name="_Toc3833"/>
            <w:r>
              <w:rPr>
                <w:rFonts w:hint="eastAsia" w:ascii="仿宋_GB2312" w:hAnsi="仿宋_GB2312" w:eastAsia="仿宋_GB2312" w:cs="仿宋_GB2312"/>
                <w:sz w:val="24"/>
              </w:rPr>
              <w:t>组织实施部门</w:t>
            </w:r>
            <w:bookmarkEnd w:id="29"/>
            <w:bookmarkEnd w:id="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508" w:type="dxa"/>
            <w:vMerge w:val="continue"/>
            <w:vAlign w:val="center"/>
          </w:tcPr>
          <w:p>
            <w:pPr>
              <w:pStyle w:val="2"/>
              <w:spacing w:line="360" w:lineRule="auto"/>
              <w:jc w:val="center"/>
              <w:rPr>
                <w:rFonts w:hint="eastAsia" w:ascii="仿宋_GB2312" w:hAnsi="仿宋_GB2312" w:eastAsia="仿宋_GB2312" w:cs="仿宋_GB2312"/>
                <w:sz w:val="24"/>
              </w:rPr>
            </w:pPr>
          </w:p>
        </w:tc>
        <w:tc>
          <w:tcPr>
            <w:tcW w:w="1880" w:type="dxa"/>
            <w:vMerge w:val="continue"/>
            <w:vAlign w:val="center"/>
          </w:tcPr>
          <w:p>
            <w:pPr>
              <w:pStyle w:val="2"/>
              <w:spacing w:line="360" w:lineRule="auto"/>
              <w:jc w:val="center"/>
              <w:rPr>
                <w:rFonts w:hint="eastAsia" w:ascii="仿宋_GB2312" w:hAnsi="仿宋_GB2312" w:eastAsia="仿宋_GB2312" w:cs="仿宋_GB2312"/>
                <w:sz w:val="24"/>
              </w:rPr>
            </w:pPr>
          </w:p>
        </w:tc>
        <w:tc>
          <w:tcPr>
            <w:tcW w:w="474" w:type="dxa"/>
            <w:vMerge w:val="continue"/>
            <w:vAlign w:val="center"/>
          </w:tcPr>
          <w:p>
            <w:pPr>
              <w:pStyle w:val="2"/>
              <w:spacing w:line="360" w:lineRule="auto"/>
              <w:jc w:val="center"/>
              <w:rPr>
                <w:rFonts w:hint="eastAsia" w:ascii="仿宋_GB2312" w:hAnsi="仿宋_GB2312" w:eastAsia="仿宋_GB2312" w:cs="仿宋_GB2312"/>
                <w:sz w:val="24"/>
              </w:rPr>
            </w:pPr>
          </w:p>
        </w:tc>
        <w:tc>
          <w:tcPr>
            <w:tcW w:w="672" w:type="dxa"/>
            <w:vAlign w:val="center"/>
          </w:tcPr>
          <w:p>
            <w:pPr>
              <w:pStyle w:val="2"/>
              <w:spacing w:line="360" w:lineRule="auto"/>
              <w:jc w:val="center"/>
              <w:rPr>
                <w:rFonts w:hint="eastAsia" w:ascii="仿宋_GB2312" w:hAnsi="仿宋_GB2312" w:eastAsia="仿宋_GB2312" w:cs="仿宋_GB2312"/>
                <w:sz w:val="24"/>
              </w:rPr>
            </w:pPr>
            <w:bookmarkStart w:id="31" w:name="_Toc4898"/>
            <w:bookmarkStart w:id="32" w:name="_Toc17387"/>
            <w:r>
              <w:rPr>
                <w:rFonts w:hint="eastAsia" w:ascii="仿宋_GB2312" w:hAnsi="仿宋_GB2312" w:eastAsia="仿宋_GB2312" w:cs="仿宋_GB2312"/>
                <w:sz w:val="24"/>
              </w:rPr>
              <w:t>1</w:t>
            </w:r>
            <w:bookmarkEnd w:id="31"/>
            <w:bookmarkEnd w:id="32"/>
          </w:p>
        </w:tc>
        <w:tc>
          <w:tcPr>
            <w:tcW w:w="672" w:type="dxa"/>
            <w:vAlign w:val="center"/>
          </w:tcPr>
          <w:p>
            <w:pPr>
              <w:pStyle w:val="2"/>
              <w:spacing w:line="360" w:lineRule="auto"/>
              <w:jc w:val="center"/>
              <w:rPr>
                <w:rFonts w:hint="eastAsia" w:ascii="仿宋_GB2312" w:hAnsi="仿宋_GB2312" w:eastAsia="仿宋_GB2312" w:cs="仿宋_GB2312"/>
                <w:sz w:val="24"/>
              </w:rPr>
            </w:pPr>
            <w:bookmarkStart w:id="33" w:name="_Toc26535"/>
            <w:bookmarkStart w:id="34" w:name="_Toc5098"/>
            <w:r>
              <w:rPr>
                <w:rFonts w:hint="eastAsia" w:ascii="仿宋_GB2312" w:hAnsi="仿宋_GB2312" w:eastAsia="仿宋_GB2312" w:cs="仿宋_GB2312"/>
                <w:sz w:val="24"/>
              </w:rPr>
              <w:t>2</w:t>
            </w:r>
            <w:bookmarkEnd w:id="33"/>
            <w:bookmarkEnd w:id="34"/>
          </w:p>
        </w:tc>
        <w:tc>
          <w:tcPr>
            <w:tcW w:w="672" w:type="dxa"/>
            <w:vAlign w:val="center"/>
          </w:tcPr>
          <w:p>
            <w:pPr>
              <w:pStyle w:val="2"/>
              <w:spacing w:line="360" w:lineRule="auto"/>
              <w:jc w:val="center"/>
              <w:rPr>
                <w:rFonts w:hint="eastAsia" w:ascii="仿宋_GB2312" w:hAnsi="仿宋_GB2312" w:eastAsia="仿宋_GB2312" w:cs="仿宋_GB2312"/>
                <w:sz w:val="24"/>
              </w:rPr>
            </w:pPr>
            <w:bookmarkStart w:id="35" w:name="_Toc14005"/>
            <w:bookmarkStart w:id="36" w:name="_Toc23100"/>
            <w:r>
              <w:rPr>
                <w:rFonts w:hint="eastAsia" w:ascii="仿宋_GB2312" w:hAnsi="仿宋_GB2312" w:eastAsia="仿宋_GB2312" w:cs="仿宋_GB2312"/>
                <w:sz w:val="24"/>
              </w:rPr>
              <w:t>3</w:t>
            </w:r>
            <w:bookmarkEnd w:id="35"/>
            <w:bookmarkEnd w:id="36"/>
          </w:p>
        </w:tc>
        <w:tc>
          <w:tcPr>
            <w:tcW w:w="672" w:type="dxa"/>
            <w:vAlign w:val="center"/>
          </w:tcPr>
          <w:p>
            <w:pPr>
              <w:pStyle w:val="2"/>
              <w:spacing w:line="360" w:lineRule="auto"/>
              <w:jc w:val="center"/>
              <w:rPr>
                <w:rFonts w:hint="eastAsia" w:ascii="仿宋_GB2312" w:hAnsi="仿宋_GB2312" w:eastAsia="仿宋_GB2312" w:cs="仿宋_GB2312"/>
                <w:sz w:val="24"/>
              </w:rPr>
            </w:pPr>
            <w:bookmarkStart w:id="37" w:name="_Toc7154"/>
            <w:bookmarkStart w:id="38" w:name="_Toc24949"/>
            <w:r>
              <w:rPr>
                <w:rFonts w:hint="eastAsia" w:ascii="仿宋_GB2312" w:hAnsi="仿宋_GB2312" w:eastAsia="仿宋_GB2312" w:cs="仿宋_GB2312"/>
                <w:sz w:val="24"/>
              </w:rPr>
              <w:t>4</w:t>
            </w:r>
            <w:bookmarkEnd w:id="37"/>
            <w:bookmarkEnd w:id="38"/>
          </w:p>
        </w:tc>
        <w:tc>
          <w:tcPr>
            <w:tcW w:w="672" w:type="dxa"/>
            <w:vAlign w:val="center"/>
          </w:tcPr>
          <w:p>
            <w:pPr>
              <w:pStyle w:val="2"/>
              <w:spacing w:line="360" w:lineRule="auto"/>
              <w:jc w:val="center"/>
              <w:rPr>
                <w:rFonts w:hint="eastAsia" w:ascii="仿宋_GB2312" w:hAnsi="仿宋_GB2312" w:eastAsia="仿宋_GB2312" w:cs="仿宋_GB2312"/>
                <w:sz w:val="24"/>
              </w:rPr>
            </w:pPr>
            <w:bookmarkStart w:id="39" w:name="_Toc1383"/>
            <w:bookmarkStart w:id="40" w:name="_Toc3262"/>
            <w:r>
              <w:rPr>
                <w:rFonts w:hint="eastAsia" w:ascii="仿宋_GB2312" w:hAnsi="仿宋_GB2312" w:eastAsia="仿宋_GB2312" w:cs="仿宋_GB2312"/>
                <w:sz w:val="24"/>
              </w:rPr>
              <w:t>5</w:t>
            </w:r>
            <w:bookmarkEnd w:id="39"/>
            <w:bookmarkEnd w:id="40"/>
          </w:p>
        </w:tc>
        <w:tc>
          <w:tcPr>
            <w:tcW w:w="672" w:type="dxa"/>
            <w:vAlign w:val="center"/>
          </w:tcPr>
          <w:p>
            <w:pPr>
              <w:pStyle w:val="2"/>
              <w:spacing w:line="360" w:lineRule="auto"/>
              <w:jc w:val="center"/>
              <w:rPr>
                <w:rFonts w:hint="eastAsia" w:ascii="仿宋_GB2312" w:hAnsi="仿宋_GB2312" w:eastAsia="仿宋_GB2312" w:cs="仿宋_GB2312"/>
                <w:sz w:val="24"/>
              </w:rPr>
            </w:pPr>
            <w:bookmarkStart w:id="41" w:name="_Toc10542"/>
            <w:bookmarkStart w:id="42" w:name="_Toc31943"/>
            <w:r>
              <w:rPr>
                <w:rFonts w:hint="eastAsia" w:ascii="仿宋_GB2312" w:hAnsi="仿宋_GB2312" w:eastAsia="仿宋_GB2312" w:cs="仿宋_GB2312"/>
                <w:sz w:val="24"/>
              </w:rPr>
              <w:t>6</w:t>
            </w:r>
            <w:bookmarkEnd w:id="41"/>
            <w:bookmarkEnd w:id="42"/>
          </w:p>
        </w:tc>
        <w:tc>
          <w:tcPr>
            <w:tcW w:w="672" w:type="dxa"/>
            <w:vAlign w:val="center"/>
          </w:tcPr>
          <w:p>
            <w:pPr>
              <w:pStyle w:val="2"/>
              <w:spacing w:line="360" w:lineRule="auto"/>
              <w:jc w:val="center"/>
              <w:rPr>
                <w:rFonts w:hint="eastAsia" w:ascii="仿宋_GB2312" w:hAnsi="仿宋_GB2312" w:eastAsia="仿宋_GB2312" w:cs="仿宋_GB2312"/>
                <w:sz w:val="24"/>
              </w:rPr>
            </w:pPr>
            <w:bookmarkStart w:id="43" w:name="_Toc23156"/>
            <w:bookmarkStart w:id="44" w:name="_Toc30928"/>
            <w:r>
              <w:rPr>
                <w:rFonts w:hint="eastAsia" w:ascii="仿宋_GB2312" w:hAnsi="仿宋_GB2312" w:eastAsia="仿宋_GB2312" w:cs="仿宋_GB2312"/>
                <w:sz w:val="24"/>
              </w:rPr>
              <w:t>7</w:t>
            </w:r>
            <w:bookmarkEnd w:id="43"/>
            <w:bookmarkEnd w:id="44"/>
          </w:p>
        </w:tc>
        <w:tc>
          <w:tcPr>
            <w:tcW w:w="676" w:type="dxa"/>
            <w:vAlign w:val="center"/>
          </w:tcPr>
          <w:p>
            <w:pPr>
              <w:pStyle w:val="2"/>
              <w:spacing w:line="360" w:lineRule="auto"/>
              <w:jc w:val="center"/>
              <w:rPr>
                <w:rFonts w:hint="eastAsia" w:ascii="仿宋_GB2312" w:hAnsi="仿宋_GB2312" w:eastAsia="仿宋_GB2312" w:cs="仿宋_GB2312"/>
                <w:sz w:val="24"/>
              </w:rPr>
            </w:pPr>
            <w:bookmarkStart w:id="45" w:name="_Toc9716"/>
            <w:bookmarkStart w:id="46" w:name="_Toc20095"/>
            <w:r>
              <w:rPr>
                <w:rFonts w:hint="eastAsia" w:ascii="仿宋_GB2312" w:hAnsi="仿宋_GB2312" w:eastAsia="仿宋_GB2312" w:cs="仿宋_GB2312"/>
                <w:sz w:val="24"/>
              </w:rPr>
              <w:t>8</w:t>
            </w:r>
            <w:bookmarkEnd w:id="45"/>
            <w:bookmarkEnd w:id="46"/>
          </w:p>
        </w:tc>
        <w:tc>
          <w:tcPr>
            <w:tcW w:w="1001" w:type="dxa"/>
            <w:vMerge w:val="continue"/>
            <w:vAlign w:val="center"/>
          </w:tcPr>
          <w:p>
            <w:pPr>
              <w:pStyle w:val="2"/>
              <w:spacing w:line="360" w:lineRule="auto"/>
              <w:jc w:val="cente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1</w:t>
            </w:r>
          </w:p>
        </w:tc>
        <w:tc>
          <w:tcPr>
            <w:tcW w:w="1880"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智能制造技术讲座</w:t>
            </w:r>
          </w:p>
        </w:tc>
        <w:tc>
          <w:tcPr>
            <w:tcW w:w="474"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4</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6" w:type="dxa"/>
            <w:vAlign w:val="center"/>
          </w:tcPr>
          <w:p>
            <w:pPr>
              <w:jc w:val="center"/>
              <w:rPr>
                <w:rFonts w:hint="eastAsia" w:ascii="仿宋_GB2312" w:hAnsi="仿宋_GB2312" w:eastAsia="仿宋_GB2312" w:cs="仿宋_GB2312"/>
                <w:b w:val="0"/>
                <w:bCs/>
              </w:rPr>
            </w:pPr>
          </w:p>
        </w:tc>
        <w:tc>
          <w:tcPr>
            <w:tcW w:w="1001"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r>
              <w:rPr>
                <w:rFonts w:hint="eastAsia" w:ascii="仿宋" w:hAnsi="仿宋" w:eastAsia="仿宋" w:cs="仿宋"/>
                <w:sz w:val="24"/>
                <w:szCs w:val="24"/>
                <w:lang w:val="en-US" w:eastAsia="zh-CN"/>
              </w:rPr>
              <w:t>2</w:t>
            </w:r>
          </w:p>
        </w:tc>
        <w:tc>
          <w:tcPr>
            <w:tcW w:w="1880" w:type="dxa"/>
            <w:shd w:val="clear" w:color="auto" w:fill="auto"/>
            <w:vAlign w:val="center"/>
          </w:tcPr>
          <w:p>
            <w:pPr>
              <w:pStyle w:val="47"/>
              <w:bidi w:val="0"/>
              <w:ind w:firstLine="0" w:firstLineChars="0"/>
              <w:rPr>
                <w:rFonts w:hint="eastAsia" w:ascii="仿宋_GB2312" w:hAnsi="仿宋_GB2312" w:eastAsia="仿宋_GB2312" w:cs="仿宋_GB2312"/>
                <w:b w:val="0"/>
                <w:bCs/>
                <w:color w:val="auto"/>
                <w:kern w:val="0"/>
                <w:sz w:val="21"/>
                <w:szCs w:val="20"/>
                <w:u w:val="none"/>
                <w:lang w:val="en-US" w:eastAsia="zh-CN" w:bidi="ar"/>
              </w:rPr>
            </w:pPr>
            <w:r>
              <w:rPr>
                <w:rFonts w:hint="eastAsia" w:eastAsia="仿宋" w:cs="仿宋"/>
                <w:b w:val="0"/>
                <w:bCs/>
                <w:sz w:val="24"/>
                <w:szCs w:val="22"/>
                <w:lang w:val="en-US" w:eastAsia="zh-CN"/>
              </w:rPr>
              <w:t>PLC控制程序设计与调试竞赛</w:t>
            </w:r>
          </w:p>
        </w:tc>
        <w:tc>
          <w:tcPr>
            <w:tcW w:w="474"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r>
              <w:rPr>
                <w:rFonts w:hint="eastAsia" w:ascii="仿宋" w:hAnsi="仿宋" w:eastAsia="仿宋" w:cs="仿宋"/>
                <w:sz w:val="24"/>
                <w:szCs w:val="24"/>
                <w:lang w:val="en-US" w:eastAsia="zh-CN"/>
              </w:rPr>
              <w:t>8</w:t>
            </w:r>
          </w:p>
        </w:tc>
        <w:tc>
          <w:tcPr>
            <w:tcW w:w="672"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p>
        </w:tc>
        <w:tc>
          <w:tcPr>
            <w:tcW w:w="672"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p>
        </w:tc>
        <w:tc>
          <w:tcPr>
            <w:tcW w:w="672"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r>
              <w:rPr>
                <w:rFonts w:hint="eastAsia" w:ascii="仿宋" w:hAnsi="仿宋" w:eastAsia="仿宋" w:cs="仿宋"/>
                <w:sz w:val="24"/>
                <w:szCs w:val="24"/>
                <w:lang w:val="en-US" w:eastAsia="zh-CN"/>
              </w:rPr>
              <w:t>√</w:t>
            </w:r>
          </w:p>
        </w:tc>
        <w:tc>
          <w:tcPr>
            <w:tcW w:w="672"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6" w:type="dxa"/>
            <w:vAlign w:val="center"/>
          </w:tcPr>
          <w:p>
            <w:pPr>
              <w:jc w:val="center"/>
              <w:rPr>
                <w:rFonts w:hint="eastAsia" w:ascii="仿宋_GB2312" w:hAnsi="仿宋_GB2312" w:eastAsia="仿宋_GB2312" w:cs="仿宋_GB2312"/>
                <w:b w:val="0"/>
                <w:bCs/>
              </w:rPr>
            </w:pPr>
          </w:p>
        </w:tc>
        <w:tc>
          <w:tcPr>
            <w:tcW w:w="1001"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r>
              <w:rPr>
                <w:rFonts w:hint="eastAsia" w:ascii="仿宋" w:hAnsi="仿宋" w:eastAsia="仿宋" w:cs="仿宋"/>
                <w:sz w:val="24"/>
                <w:szCs w:val="24"/>
                <w:lang w:val="en-US" w:eastAsia="zh-CN"/>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r>
              <w:rPr>
                <w:rFonts w:hint="eastAsia" w:ascii="仿宋" w:hAnsi="仿宋" w:eastAsia="仿宋" w:cs="仿宋"/>
                <w:sz w:val="24"/>
                <w:szCs w:val="24"/>
                <w:lang w:val="en-US" w:eastAsia="zh-CN"/>
              </w:rPr>
              <w:t>3</w:t>
            </w:r>
          </w:p>
        </w:tc>
        <w:tc>
          <w:tcPr>
            <w:tcW w:w="1880" w:type="dxa"/>
            <w:vAlign w:val="center"/>
          </w:tcPr>
          <w:p>
            <w:pPr>
              <w:pStyle w:val="47"/>
              <w:bidi w:val="0"/>
              <w:ind w:firstLine="0" w:firstLineChars="0"/>
              <w:rPr>
                <w:rFonts w:hint="eastAsia" w:ascii="仿宋_GB2312" w:hAnsi="仿宋_GB2312" w:eastAsia="仿宋_GB2312" w:cs="仿宋_GB2312"/>
                <w:b w:val="0"/>
                <w:bCs/>
              </w:rPr>
            </w:pPr>
            <w:r>
              <w:rPr>
                <w:rFonts w:hint="eastAsia" w:ascii="仿宋" w:hAnsi="仿宋" w:eastAsia="仿宋" w:cs="仿宋"/>
                <w:b w:val="0"/>
                <w:bCs/>
                <w:sz w:val="24"/>
                <w:szCs w:val="22"/>
                <w:lang w:val="en-US" w:eastAsia="zh-CN"/>
              </w:rPr>
              <w:t>机电产品创新设计大赛</w:t>
            </w:r>
          </w:p>
        </w:tc>
        <w:tc>
          <w:tcPr>
            <w:tcW w:w="474"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8</w:t>
            </w: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p>
        </w:tc>
        <w:tc>
          <w:tcPr>
            <w:tcW w:w="672" w:type="dxa"/>
            <w:vAlign w:val="center"/>
          </w:tcPr>
          <w:p>
            <w:pPr>
              <w:jc w:val="center"/>
              <w:rPr>
                <w:rFonts w:hint="eastAsia" w:ascii="仿宋_GB2312" w:hAnsi="仿宋_GB2312" w:eastAsia="仿宋_GB2312" w:cs="仿宋_GB2312"/>
                <w:b w:val="0"/>
                <w:bCs/>
              </w:rPr>
            </w:pPr>
            <w:r>
              <w:rPr>
                <w:rFonts w:hint="eastAsia" w:ascii="仿宋" w:hAnsi="仿宋" w:eastAsia="仿宋" w:cs="仿宋"/>
                <w:sz w:val="24"/>
                <w:szCs w:val="24"/>
                <w:lang w:val="en-US" w:eastAsia="zh-CN"/>
              </w:rPr>
              <w:t>√</w:t>
            </w:r>
          </w:p>
        </w:tc>
        <w:tc>
          <w:tcPr>
            <w:tcW w:w="676" w:type="dxa"/>
            <w:vAlign w:val="center"/>
          </w:tcPr>
          <w:p>
            <w:pPr>
              <w:jc w:val="center"/>
              <w:rPr>
                <w:rFonts w:hint="eastAsia" w:ascii="仿宋_GB2312" w:hAnsi="仿宋_GB2312" w:eastAsia="仿宋_GB2312" w:cs="仿宋_GB2312"/>
                <w:b w:val="0"/>
                <w:bCs/>
              </w:rPr>
            </w:pPr>
          </w:p>
        </w:tc>
        <w:tc>
          <w:tcPr>
            <w:tcW w:w="1001" w:type="dxa"/>
            <w:shd w:val="clear" w:color="auto" w:fill="auto"/>
            <w:vAlign w:val="center"/>
          </w:tcPr>
          <w:p>
            <w:pPr>
              <w:jc w:val="center"/>
              <w:rPr>
                <w:rFonts w:hint="eastAsia" w:ascii="仿宋_GB2312" w:hAnsi="仿宋_GB2312" w:eastAsia="仿宋_GB2312" w:cs="仿宋_GB2312"/>
                <w:b w:val="0"/>
                <w:bCs/>
                <w:kern w:val="2"/>
                <w:sz w:val="21"/>
                <w:szCs w:val="24"/>
                <w:lang w:val="en-US" w:eastAsia="zh-CN" w:bidi="ar-SA"/>
              </w:rPr>
            </w:pPr>
            <w:r>
              <w:rPr>
                <w:rFonts w:hint="eastAsia" w:ascii="仿宋" w:hAnsi="仿宋" w:eastAsia="仿宋" w:cs="仿宋"/>
                <w:sz w:val="24"/>
                <w:szCs w:val="24"/>
                <w:lang w:val="en-US" w:eastAsia="zh-CN"/>
              </w:rPr>
              <w:t>二级学院、教学团队</w:t>
            </w:r>
          </w:p>
        </w:tc>
      </w:tr>
    </w:tbl>
    <w:p>
      <w:pPr>
        <w:pStyle w:val="2"/>
        <w:sectPr>
          <w:pgSz w:w="11906" w:h="16838"/>
          <w:pgMar w:top="1440" w:right="1803" w:bottom="1440" w:left="1803" w:header="851" w:footer="992" w:gutter="0"/>
          <w:pgNumType w:fmt="decimal"/>
          <w:cols w:space="0" w:num="1"/>
          <w:docGrid w:type="lines" w:linePitch="319" w:charSpace="0"/>
        </w:sectPr>
      </w:pPr>
    </w:p>
    <w:p>
      <w:pPr>
        <w:pStyle w:val="3"/>
        <w:spacing w:before="40" w:after="40" w:line="360" w:lineRule="auto"/>
        <w:ind w:firstLine="602" w:firstLineChars="200"/>
        <w:rPr>
          <w:rFonts w:hint="eastAsia" w:ascii="黑体" w:hAnsi="黑体" w:eastAsia="黑体" w:cs="黑体"/>
          <w:sz w:val="30"/>
          <w:szCs w:val="30"/>
        </w:rPr>
      </w:pPr>
      <w:bookmarkStart w:id="47" w:name="_Toc27067"/>
      <w:r>
        <w:rPr>
          <w:rFonts w:hint="eastAsia" w:ascii="黑体" w:hAnsi="黑体" w:eastAsia="黑体" w:cs="黑体"/>
          <w:sz w:val="30"/>
          <w:szCs w:val="30"/>
        </w:rPr>
        <w:t>八、实施保障</w:t>
      </w:r>
      <w:bookmarkEnd w:id="47"/>
    </w:p>
    <w:p>
      <w:pPr>
        <w:pStyle w:val="2"/>
        <w:ind w:firstLine="562" w:firstLineChars="200"/>
        <w:rPr>
          <w:rFonts w:hint="eastAsia" w:ascii="仿宋_GB2312" w:hAnsi="仿宋_GB2312" w:eastAsia="仿宋_GB2312" w:cs="仿宋_GB2312"/>
          <w:sz w:val="28"/>
          <w:szCs w:val="36"/>
        </w:rPr>
      </w:pPr>
      <w:bookmarkStart w:id="48" w:name="_Toc28671"/>
      <w:r>
        <w:rPr>
          <w:rFonts w:hint="eastAsia" w:ascii="仿宋_GB2312" w:hAnsi="仿宋_GB2312" w:eastAsia="仿宋_GB2312" w:cs="仿宋_GB2312"/>
          <w:sz w:val="28"/>
          <w:szCs w:val="36"/>
        </w:rPr>
        <w:t>（一）实训基地配备</w:t>
      </w:r>
      <w:bookmarkEnd w:id="48"/>
    </w:p>
    <w:p>
      <w:pPr>
        <w:adjustRightInd w:val="0"/>
        <w:snapToGrid w:val="0"/>
        <w:spacing w:line="360" w:lineRule="auto"/>
        <w:ind w:firstLine="560" w:firstLineChars="200"/>
        <w:rPr>
          <w:rFonts w:hint="eastAsia" w:ascii="仿宋_GB2312" w:eastAsia="仿宋_GB2312" w:hAnsiTheme="minorEastAsia"/>
          <w:sz w:val="28"/>
          <w:szCs w:val="28"/>
        </w:rPr>
      </w:pPr>
      <w:r>
        <w:rPr>
          <w:rFonts w:hint="eastAsia" w:ascii="仿宋_GB2312" w:eastAsia="仿宋_GB2312" w:hAnsiTheme="minorEastAsia"/>
          <w:sz w:val="28"/>
          <w:szCs w:val="28"/>
        </w:rPr>
        <w:t>以一个教学班50人为标准，校内基地和校外基地结合，规划完成实践教学项目需要配备的实训室、实训设备等。</w:t>
      </w:r>
    </w:p>
    <w:p>
      <w:pPr>
        <w:adjustRightInd w:val="0"/>
        <w:snapToGrid w:val="0"/>
        <w:spacing w:line="360" w:lineRule="auto"/>
        <w:ind w:firstLine="482" w:firstLineChars="200"/>
        <w:jc w:val="center"/>
        <w:rPr>
          <w:rFonts w:hint="eastAsia" w:ascii="仿宋_GB2312" w:eastAsia="仿宋_GB2312" w:hAnsiTheme="minorEastAsia"/>
          <w:b/>
          <w:bCs/>
          <w:sz w:val="24"/>
        </w:rPr>
      </w:pPr>
      <w:r>
        <w:rPr>
          <w:rFonts w:hint="eastAsia" w:ascii="仿宋_GB2312" w:eastAsia="仿宋_GB2312" w:hAnsiTheme="minorEastAsia"/>
          <w:b/>
          <w:bCs/>
          <w:sz w:val="24"/>
          <w:lang w:val="en-US" w:eastAsia="zh-CN"/>
        </w:rPr>
        <w:t xml:space="preserve">表7 </w:t>
      </w:r>
      <w:r>
        <w:rPr>
          <w:rFonts w:hint="eastAsia" w:ascii="仿宋_GB2312" w:eastAsia="仿宋_GB2312" w:hAnsiTheme="minorEastAsia"/>
          <w:b/>
          <w:bCs/>
          <w:sz w:val="24"/>
        </w:rPr>
        <w:t>实训条件配备一览表</w:t>
      </w:r>
    </w:p>
    <w:tbl>
      <w:tblPr>
        <w:tblStyle w:val="15"/>
        <w:tblW w:w="87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4"/>
        <w:gridCol w:w="1201"/>
        <w:gridCol w:w="882"/>
        <w:gridCol w:w="2425"/>
        <w:gridCol w:w="717"/>
        <w:gridCol w:w="2550"/>
        <w:gridCol w:w="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74" w:type="dxa"/>
            <w:vAlign w:val="center"/>
          </w:tcPr>
          <w:p>
            <w:pPr>
              <w:rPr>
                <w:rFonts w:hint="eastAsia" w:ascii="仿宋" w:hAnsi="仿宋" w:eastAsia="仿宋" w:cs="仿宋"/>
                <w:b/>
                <w:sz w:val="24"/>
              </w:rPr>
            </w:pPr>
            <w:r>
              <w:rPr>
                <w:rFonts w:hint="eastAsia" w:ascii="仿宋" w:hAnsi="仿宋" w:eastAsia="仿宋" w:cs="仿宋"/>
                <w:b/>
                <w:sz w:val="24"/>
              </w:rPr>
              <w:t>序号</w:t>
            </w:r>
          </w:p>
        </w:tc>
        <w:tc>
          <w:tcPr>
            <w:tcW w:w="1201" w:type="dxa"/>
            <w:vAlign w:val="center"/>
          </w:tcPr>
          <w:p>
            <w:pPr>
              <w:rPr>
                <w:rFonts w:hint="eastAsia" w:ascii="仿宋" w:hAnsi="仿宋" w:eastAsia="仿宋" w:cs="仿宋"/>
                <w:b/>
                <w:sz w:val="24"/>
                <w:lang w:eastAsia="zh-CN"/>
              </w:rPr>
            </w:pPr>
            <w:r>
              <w:rPr>
                <w:rFonts w:hint="eastAsia" w:ascii="仿宋" w:hAnsi="仿宋" w:eastAsia="仿宋" w:cs="仿宋"/>
                <w:b/>
                <w:sz w:val="24"/>
              </w:rPr>
              <w:t>实训室名称</w:t>
            </w:r>
          </w:p>
        </w:tc>
        <w:tc>
          <w:tcPr>
            <w:tcW w:w="882" w:type="dxa"/>
            <w:vAlign w:val="center"/>
          </w:tcPr>
          <w:p>
            <w:pPr>
              <w:rPr>
                <w:rFonts w:hint="eastAsia" w:ascii="仿宋" w:hAnsi="仿宋" w:eastAsia="仿宋" w:cs="仿宋"/>
                <w:b/>
                <w:sz w:val="24"/>
              </w:rPr>
            </w:pPr>
            <w:r>
              <w:rPr>
                <w:rFonts w:hint="eastAsia" w:ascii="仿宋" w:hAnsi="仿宋" w:eastAsia="仿宋" w:cs="仿宋"/>
                <w:b/>
                <w:sz w:val="24"/>
              </w:rPr>
              <w:t>校内/校外</w:t>
            </w:r>
          </w:p>
        </w:tc>
        <w:tc>
          <w:tcPr>
            <w:tcW w:w="2425" w:type="dxa"/>
            <w:vAlign w:val="center"/>
          </w:tcPr>
          <w:p>
            <w:pPr>
              <w:jc w:val="center"/>
              <w:rPr>
                <w:rFonts w:hint="eastAsia" w:ascii="仿宋" w:hAnsi="仿宋" w:eastAsia="仿宋" w:cs="仿宋"/>
                <w:b/>
                <w:sz w:val="24"/>
              </w:rPr>
            </w:pPr>
            <w:r>
              <w:rPr>
                <w:rFonts w:hint="eastAsia" w:ascii="仿宋" w:hAnsi="仿宋" w:eastAsia="仿宋" w:cs="仿宋"/>
                <w:b/>
                <w:sz w:val="24"/>
              </w:rPr>
              <w:t>主要设备名称</w:t>
            </w:r>
          </w:p>
        </w:tc>
        <w:tc>
          <w:tcPr>
            <w:tcW w:w="717" w:type="dxa"/>
            <w:vAlign w:val="center"/>
          </w:tcPr>
          <w:p>
            <w:pPr>
              <w:rPr>
                <w:rFonts w:hint="eastAsia" w:ascii="仿宋" w:hAnsi="仿宋" w:eastAsia="仿宋" w:cs="仿宋"/>
                <w:b/>
                <w:sz w:val="24"/>
              </w:rPr>
            </w:pPr>
            <w:r>
              <w:rPr>
                <w:rFonts w:hint="eastAsia" w:ascii="仿宋" w:hAnsi="仿宋" w:eastAsia="仿宋" w:cs="仿宋"/>
                <w:b/>
                <w:sz w:val="24"/>
              </w:rPr>
              <w:t>配备数量</w:t>
            </w:r>
          </w:p>
        </w:tc>
        <w:tc>
          <w:tcPr>
            <w:tcW w:w="2550" w:type="dxa"/>
            <w:vAlign w:val="center"/>
          </w:tcPr>
          <w:p>
            <w:pPr>
              <w:rPr>
                <w:rFonts w:hint="eastAsia" w:ascii="仿宋" w:hAnsi="仿宋" w:eastAsia="仿宋" w:cs="仿宋"/>
                <w:b/>
                <w:sz w:val="24"/>
              </w:rPr>
            </w:pPr>
            <w:r>
              <w:rPr>
                <w:rFonts w:hint="eastAsia" w:ascii="仿宋" w:hAnsi="仿宋" w:eastAsia="仿宋" w:cs="仿宋"/>
                <w:b/>
                <w:sz w:val="24"/>
              </w:rPr>
              <w:t>实训项目/内容</w:t>
            </w:r>
          </w:p>
        </w:tc>
        <w:tc>
          <w:tcPr>
            <w:tcW w:w="507" w:type="dxa"/>
            <w:vAlign w:val="center"/>
          </w:tcPr>
          <w:p>
            <w:pPr>
              <w:rPr>
                <w:rFonts w:hint="eastAsia" w:ascii="仿宋" w:hAnsi="仿宋" w:eastAsia="仿宋" w:cs="仿宋"/>
                <w:b/>
                <w:sz w:val="24"/>
              </w:rPr>
            </w:pPr>
            <w:r>
              <w:rPr>
                <w:rFonts w:hint="eastAsia" w:ascii="仿宋" w:hAnsi="仿宋" w:eastAsia="仿宋" w:cs="仿宋"/>
                <w:b/>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T3-A401/机电一体化项目实训室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微型电子计算机/工业机器人搬运单元/检测分拣单元/智能仓储单元/装配工作台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10/1/1/1/1</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（1）工作站组建</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（2）六轴机器人工作站组建</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T3-A402/机床电气及PLC技术实训室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微型电子计算机/MPS模块化制造系统/运动控制系统/PAC控制系统/三轴运动控制实训装置</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15/1/6/3/3</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（1）工作站组建</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（2）六轴机器人工作站组建</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T3-A403/PLC编程实训室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微型电子计算机/紧凑型PLC控制器/中央处理器模组/</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25/3/1/1</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（1）滑仓、物料分拣工作站设计与组建</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（2）简单机电装调、PLC基本编程项目训练</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4</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T3-A404/机床电气及PLC技术实训室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紧凑型PLC控制器</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9</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（1）电动机正反转控制</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（2）星-三角PLC控制</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（3）双速电动机PLC控制</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5</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T3-A405/运动控制技术实训室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微型电子计算机/工业控制器（PLC）/变频驱动装置套装/</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12/7/7</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（1）变频、步进、伺服电机控制训练</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（2）网络通信</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（3）PLC基础训练</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6</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T3-A406/过程控制技术实训室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微型电子计算机/过程控制实训装置</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34/6</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（1）电机顺序控制系统设计</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（2）声光报警控制系统设计</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（3）液压站控制系统设计、声光报警控制系统设计</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7</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T3-A407/运动控制技术实训室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微型电子计算机/工业控制器（PLC）/伺服控制驱动装置套装/步进电机驱动装置套装</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12/7/13/14</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（1）变频、步进、伺服电机控制训练</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（2）网络通信</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（3）PLC基础训练</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8</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T3-A408/气动综合实训室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气动综合实训台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15</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（1）PLC基本项目训练</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（2）气动、电气回路搭建</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1"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9</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T3-A412/检测与转换实训室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微型电子计算机/检查与转换实训装置</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1/15</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（1）电阻式传感器单臂性能试验</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（2）电阻式传感器的振动实验</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（3）电阻式传感器的电子秤实验</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10</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T3-A414/液压技术实训室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微型电子计算机/液压综合实训台/西门子紧凑型PLC控制器/电液比例综合实训台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7/15/8/2</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（1）液压基本回路搭建</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（2）电液综合回路搭建</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11</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T3-C205/AHK机电一体化工考试中心</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微型电子计算机/机电一体化实训台/紧凑型PLC控制器/PLC开关量信号扩展模块</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14/24/8/6</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（1）滑仓、物料分拣工作站设计与组建</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（2）简单机电装调训练</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（3）PLC基本编程项目训练</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0"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12</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T3-A303/数字化设计与虚拟调试实训室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仿真设计平台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15</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（1）机电一体化系统概念设计（MCD）</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（2）自动化产线虚拟调试</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（3）仿真的过程控制与协同设计</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13</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T3-C405/电工技能一体化实训室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电工上岗操作实训平台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25</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（1）电机控制电路的使用</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（2）触电急救方法、电气灭火的方法</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（3）作业现场安全隐患排除及应急处置</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14</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T3-C407/电工上岗操作实训室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电工上岗操作实训平台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25</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（1）电机控制电路的使用</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（2）触电急救方法、电气灭火的方法</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（3）作业现场安全隐患排除及应急处置</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15</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T3-C409/电工上岗操作实训室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电工上岗操作实训平台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25</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（1）电机控制电路实训</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（2）触电急救方法、电气灭火的方法</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（3）作业现场安全隐患排除及应急处置</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16</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T3-C412/电工与电子一体化教室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微型电子计算机/电工操作台/数字化制造仿真分析系统</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11/8/3</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（1）电机与拖动训练</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 xml:space="preserve">（2）电机的可编程控制训练 </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（3）可编程序控制器plc应用与设计</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17</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T3-C413/自动化系统组建综合实训室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微型电子计算机/通用维修电工技能实训装置/PLC变频器/组合实训台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14/10/17/14</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（1）机床电气控制故障检修</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（2）可编程序控制器plc应用与设计</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（3）变频器调速控制系统设计</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18</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T3-C415/自动化系统组建综合实训室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微型电子计算机/通用维修电工技能实训装置/组合实训台</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2/10/14</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（1）机床电气控制故障检修</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（2）可编程序控制器plc应用与设计</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（3）变频器调速控制系统设计</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19</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T3-A316/钳工实训室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钳工操作台/微型电子计算机</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24/1</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（1）模具制作、安装调试</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（2）手动划线、锯割及锉削等训练</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20</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T3-C209-2/普通机床加工实训室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普通卧式铣床/外圆磨床/平面磨床/普通立式铣床</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2/2/6/8</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（1）螺杆零件车削加工</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（2）组合零件的加工</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21</w:t>
            </w:r>
          </w:p>
        </w:tc>
        <w:tc>
          <w:tcPr>
            <w:tcW w:w="1201"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数控加工一体化实训室</w:t>
            </w:r>
          </w:p>
        </w:tc>
        <w:tc>
          <w:tcPr>
            <w:tcW w:w="882"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校内</w:t>
            </w:r>
          </w:p>
        </w:tc>
        <w:tc>
          <w:tcPr>
            <w:tcW w:w="2425"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数控铣床、数控车床、数控线切割机床</w:t>
            </w:r>
          </w:p>
        </w:tc>
        <w:tc>
          <w:tcPr>
            <w:tcW w:w="717"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44</w:t>
            </w:r>
          </w:p>
        </w:tc>
        <w:tc>
          <w:tcPr>
            <w:tcW w:w="2550"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数控机床编程与操作项目</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22</w:t>
            </w:r>
          </w:p>
        </w:tc>
        <w:tc>
          <w:tcPr>
            <w:tcW w:w="1201"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数控多轴加工实训室</w:t>
            </w:r>
          </w:p>
        </w:tc>
        <w:tc>
          <w:tcPr>
            <w:tcW w:w="882"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校内</w:t>
            </w:r>
          </w:p>
        </w:tc>
        <w:tc>
          <w:tcPr>
            <w:tcW w:w="2425"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数控四轴、五轴联动加工机床</w:t>
            </w:r>
          </w:p>
        </w:tc>
        <w:tc>
          <w:tcPr>
            <w:tcW w:w="717"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6</w:t>
            </w:r>
          </w:p>
        </w:tc>
        <w:tc>
          <w:tcPr>
            <w:tcW w:w="2550" w:type="dxa"/>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数控多轴编程与操作项目</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23</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T3-C104-6/FANUC机器人基础区</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台式计算机/多功能机器人基础工作站/小型装配机器人/弧焊多关节机器人</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11/4/1/1</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（1）FANUC机器人基本编程与操作</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（2）FANUC弧焊工艺应用</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24</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T3-C307/工业机器人应用编程实训室</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工业机器人应用教学平台/智能制造数字化仿真软件/微型计算机</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10/15/11</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（1）FANUC机器人基本编程与操作</w:t>
            </w:r>
          </w:p>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（2）FANUC机器人集成应用</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25</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官塘校区T7产教融合创新实训基地1#401</w:t>
            </w:r>
          </w:p>
        </w:tc>
        <w:tc>
          <w:tcPr>
            <w:tcW w:w="882"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校内</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机电一体化综合实训产线</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8</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机电一体化产线程序设计、调试运行</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26</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柳州柳新汽车冲压件有限公司</w:t>
            </w:r>
          </w:p>
        </w:tc>
        <w:tc>
          <w:tcPr>
            <w:tcW w:w="882"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校外</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工业机器人、装配线、焊装线</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设备维修、维护、点检、安装调试、车间管理</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27</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柳州商泰机械有限公司</w:t>
            </w:r>
          </w:p>
        </w:tc>
        <w:tc>
          <w:tcPr>
            <w:tcW w:w="882"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校外</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机械装配线、焊装线</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设备维修、维护、点检、安装调试、车间管理</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28</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广西汽车集团有限公司</w:t>
            </w:r>
          </w:p>
        </w:tc>
        <w:tc>
          <w:tcPr>
            <w:tcW w:w="882"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校外</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工业机器人、汽车装配线、自动生产线等维修维护</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设备维修、维护、点检、安装调试、车间管理</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29</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柳州福臻车体实业有限公司</w:t>
            </w:r>
          </w:p>
        </w:tc>
        <w:tc>
          <w:tcPr>
            <w:tcW w:w="882"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校外</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工业机器人、装配线、焊装线</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设备维修、维护、点检、安装调试、车间管理</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auto"/>
                <w:kern w:val="0"/>
                <w:sz w:val="18"/>
                <w:szCs w:val="18"/>
                <w:u w:val="none"/>
                <w:lang w:val="en-US" w:eastAsia="zh-CN" w:bidi="ar"/>
              </w:rPr>
            </w:pPr>
            <w:r>
              <w:rPr>
                <w:rFonts w:hint="eastAsia" w:ascii="仿宋_GB2312" w:hAnsi="仿宋_GB2312" w:eastAsia="仿宋_GB2312" w:cs="仿宋_GB2312"/>
                <w:i w:val="0"/>
                <w:iCs w:val="0"/>
                <w:color w:val="auto"/>
                <w:kern w:val="0"/>
                <w:sz w:val="18"/>
                <w:szCs w:val="18"/>
                <w:u w:val="none"/>
                <w:lang w:val="en-US" w:eastAsia="zh-CN" w:bidi="ar"/>
              </w:rPr>
              <w:t>柳州职业技术学院机械厂</w:t>
            </w:r>
          </w:p>
        </w:tc>
        <w:tc>
          <w:tcPr>
            <w:tcW w:w="882"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校外</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设备维修维护保养</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设备维修、维护、点检、安装调试、装备升级改造</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74" w:type="dxa"/>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31</w:t>
            </w:r>
          </w:p>
        </w:tc>
        <w:tc>
          <w:tcPr>
            <w:tcW w:w="1201"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上汽通用五菱汽车有限公司</w:t>
            </w:r>
          </w:p>
        </w:tc>
        <w:tc>
          <w:tcPr>
            <w:tcW w:w="882"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校外</w:t>
            </w:r>
          </w:p>
        </w:tc>
        <w:tc>
          <w:tcPr>
            <w:tcW w:w="2425"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工业机器人、汽车装配线、数控机床等维修维护</w:t>
            </w:r>
          </w:p>
        </w:tc>
        <w:tc>
          <w:tcPr>
            <w:tcW w:w="71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30</w:t>
            </w:r>
          </w:p>
        </w:tc>
        <w:tc>
          <w:tcPr>
            <w:tcW w:w="2550"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r>
              <w:rPr>
                <w:rFonts w:hint="eastAsia" w:ascii="仿宋_GB2312" w:hAnsi="仿宋_GB2312" w:eastAsia="仿宋_GB2312" w:cs="仿宋_GB2312"/>
                <w:i w:val="0"/>
                <w:iCs w:val="0"/>
                <w:color w:val="000000"/>
                <w:kern w:val="0"/>
                <w:sz w:val="18"/>
                <w:szCs w:val="18"/>
                <w:u w:val="none"/>
                <w:lang w:val="en-US" w:eastAsia="zh-CN" w:bidi="ar"/>
              </w:rPr>
              <w:t>设备维修、维护、点检、安装调试、车间管理</w:t>
            </w:r>
          </w:p>
        </w:tc>
        <w:tc>
          <w:tcPr>
            <w:tcW w:w="507" w:type="dxa"/>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18"/>
                <w:szCs w:val="18"/>
                <w:u w:val="none"/>
                <w:lang w:val="en-US" w:eastAsia="zh-CN" w:bidi="ar"/>
              </w:rPr>
            </w:pPr>
          </w:p>
        </w:tc>
      </w:tr>
    </w:tbl>
    <w:p>
      <w:pPr>
        <w:pStyle w:val="2"/>
        <w:ind w:firstLine="562" w:firstLineChars="200"/>
        <w:rPr>
          <w:rFonts w:hint="eastAsia" w:ascii="仿宋_GB2312" w:hAnsi="仿宋_GB2312" w:eastAsia="仿宋_GB2312" w:cs="仿宋_GB2312"/>
          <w:sz w:val="28"/>
          <w:szCs w:val="36"/>
        </w:rPr>
      </w:pPr>
      <w:bookmarkStart w:id="49" w:name="_Toc3807"/>
      <w:r>
        <w:rPr>
          <w:rFonts w:hint="eastAsia" w:ascii="仿宋_GB2312" w:hAnsi="仿宋_GB2312" w:eastAsia="仿宋_GB2312" w:cs="仿宋_GB2312"/>
          <w:sz w:val="28"/>
          <w:szCs w:val="36"/>
        </w:rPr>
        <w:t>（二）结构化教学团队</w:t>
      </w:r>
      <w:bookmarkEnd w:id="49"/>
    </w:p>
    <w:p>
      <w:pPr>
        <w:pStyle w:val="2"/>
        <w:rPr>
          <w:rFonts w:hint="default" w:ascii="仿宋" w:hAnsi="仿宋" w:eastAsia="仿宋" w:cs="仿宋"/>
          <w:b w:val="0"/>
          <w:kern w:val="2"/>
          <w:sz w:val="28"/>
          <w:szCs w:val="28"/>
          <w:lang w:val="en-US" w:eastAsia="zh-CN" w:bidi="ar-SA"/>
        </w:rPr>
      </w:pPr>
      <w:r>
        <w:rPr>
          <w:rFonts w:hint="eastAsia" w:ascii="仿宋" w:hAnsi="仿宋" w:eastAsia="仿宋" w:cs="仿宋"/>
          <w:sz w:val="28"/>
          <w:szCs w:val="28"/>
          <w:lang w:val="en-US" w:eastAsia="zh-CN"/>
        </w:rPr>
        <w:t xml:space="preserve">    </w:t>
      </w:r>
      <w:r>
        <w:rPr>
          <w:rFonts w:hint="eastAsia" w:ascii="仿宋" w:hAnsi="仿宋" w:eastAsia="仿宋" w:cs="仿宋"/>
          <w:b w:val="0"/>
          <w:kern w:val="2"/>
          <w:sz w:val="28"/>
          <w:szCs w:val="28"/>
          <w:lang w:val="en-US" w:eastAsia="zh-CN" w:bidi="ar-SA"/>
        </w:rPr>
        <w:t>机械电子工程技术专业现有专任教师32人，专业负责人为副教授职称。“双师型”教师30人，占比93.75%。兼职教师全部来自企业，兼职教师任专业课课时占比不低于20%。</w:t>
      </w:r>
    </w:p>
    <w:p/>
    <w:p>
      <w:pPr>
        <w:pStyle w:val="2"/>
        <w:ind w:firstLine="562" w:firstLineChars="200"/>
        <w:rPr>
          <w:rFonts w:hint="eastAsia" w:ascii="仿宋_GB2312" w:hAnsi="仿宋_GB2312" w:eastAsia="仿宋_GB2312" w:cs="仿宋_GB2312"/>
          <w:sz w:val="28"/>
          <w:szCs w:val="36"/>
        </w:rPr>
      </w:pPr>
      <w:bookmarkStart w:id="50" w:name="_Toc27116"/>
      <w:r>
        <w:rPr>
          <w:rFonts w:hint="eastAsia" w:ascii="仿宋_GB2312" w:hAnsi="仿宋_GB2312" w:eastAsia="仿宋_GB2312" w:cs="仿宋_GB2312"/>
          <w:sz w:val="28"/>
          <w:szCs w:val="36"/>
        </w:rPr>
        <w:t>（三）教学资源</w:t>
      </w:r>
      <w:bookmarkEnd w:id="50"/>
    </w:p>
    <w:p>
      <w:pPr>
        <w:spacing w:line="596" w:lineRule="exact"/>
        <w:ind w:firstLine="560" w:firstLineChars="200"/>
        <w:rPr>
          <w:rFonts w:hint="eastAsia" w:ascii="仿宋" w:hAnsi="仿宋" w:eastAsia="仿宋" w:cs="仿宋"/>
          <w:sz w:val="28"/>
          <w:szCs w:val="28"/>
        </w:rPr>
      </w:pPr>
      <w:bookmarkStart w:id="51" w:name="_Toc2987"/>
      <w:r>
        <w:rPr>
          <w:rFonts w:hint="eastAsia" w:ascii="仿宋" w:hAnsi="仿宋" w:eastAsia="仿宋" w:cs="仿宋"/>
          <w:sz w:val="28"/>
          <w:szCs w:val="28"/>
        </w:rPr>
        <w:t>1.教材选用基本要求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按照国家规定，经过规范程序选用教材，优先选用国家规划教材和国家优秀教材。专业课程教材应体现本行业新技术、新规范、新标准、新形态。</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2.图书文献配备基本要求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图书文献配备国内外零部件智能制造行业、汽车行业和工业机器人行业政策法规、行业标准、技术规范、数字化设计技术专业图书和智能产品产线开发实务案例图书，智能制造技术专业学术期刊。及时配备新技术、新工艺、新材料和新管理、新服务方</w:t>
      </w:r>
      <w:r>
        <w:rPr>
          <w:rFonts w:hint="eastAsia" w:ascii="仿宋" w:hAnsi="仿宋" w:eastAsia="仿宋" w:cs="仿宋"/>
          <w:sz w:val="28"/>
          <w:szCs w:val="28"/>
          <w:lang w:eastAsia="zh-CN"/>
        </w:rPr>
        <w:t>式</w:t>
      </w:r>
      <w:r>
        <w:rPr>
          <w:rFonts w:hint="eastAsia" w:ascii="仿宋" w:hAnsi="仿宋" w:eastAsia="仿宋" w:cs="仿宋"/>
          <w:sz w:val="28"/>
          <w:szCs w:val="28"/>
        </w:rPr>
        <w:t>等相关的图书文献。</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3.数字教学资源配置基本要求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根据本专业教学特点，建设包含专业及课程平台、自主学习平台和资源素材平台等教学资源库的建设，</w:t>
      </w:r>
      <w:r>
        <w:rPr>
          <w:rFonts w:hint="eastAsia" w:ascii="仿宋" w:hAnsi="仿宋" w:eastAsia="仿宋" w:cs="仿宋"/>
          <w:sz w:val="28"/>
          <w:szCs w:val="28"/>
        </w:rPr>
        <w:t>建设、配备与本专业有关的音视频素材、教学课件、微课、在线课程、数字化教学案例库、虚拟仿真软件、数字教材等数字教学资源，种类丰富、形式多样、使用便捷、动态更新、满足教学</w:t>
      </w:r>
      <w:r>
        <w:rPr>
          <w:rFonts w:hint="eastAsia" w:ascii="仿宋" w:hAnsi="仿宋" w:eastAsia="仿宋" w:cs="仿宋"/>
          <w:sz w:val="28"/>
          <w:szCs w:val="28"/>
          <w:lang w:val="en-US" w:eastAsia="zh-CN"/>
        </w:rPr>
        <w:t>，为学生提供自主学习平台。</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（四）教学方法</w:t>
      </w:r>
      <w:bookmarkEnd w:id="51"/>
    </w:p>
    <w:p>
      <w:pPr>
        <w:spacing w:line="596" w:lineRule="exact"/>
        <w:ind w:firstLine="560" w:firstLineChars="200"/>
        <w:rPr>
          <w:rFonts w:hint="eastAsia" w:ascii="仿宋" w:hAnsi="仿宋" w:eastAsia="仿宋" w:cs="仿宋"/>
          <w:sz w:val="28"/>
          <w:szCs w:val="28"/>
        </w:rPr>
      </w:pPr>
      <w:bookmarkStart w:id="52" w:name="_Toc16360"/>
      <w:r>
        <w:rPr>
          <w:rFonts w:hint="eastAsia" w:ascii="仿宋" w:hAnsi="仿宋" w:eastAsia="仿宋" w:cs="仿宋"/>
          <w:sz w:val="28"/>
          <w:szCs w:val="28"/>
        </w:rPr>
        <w:t>结合</w:t>
      </w:r>
      <w:r>
        <w:rPr>
          <w:rFonts w:hint="eastAsia" w:ascii="仿宋" w:hAnsi="仿宋" w:eastAsia="仿宋" w:cs="仿宋"/>
          <w:sz w:val="28"/>
          <w:szCs w:val="28"/>
          <w:lang w:val="en-US" w:eastAsia="zh-CN"/>
        </w:rPr>
        <w:t>专业</w:t>
      </w:r>
      <w:r>
        <w:rPr>
          <w:rFonts w:hint="eastAsia" w:ascii="仿宋" w:hAnsi="仿宋" w:eastAsia="仿宋" w:cs="仿宋"/>
          <w:sz w:val="28"/>
          <w:szCs w:val="28"/>
        </w:rPr>
        <w:t>学生</w:t>
      </w:r>
      <w:r>
        <w:rPr>
          <w:rFonts w:hint="eastAsia" w:ascii="仿宋" w:hAnsi="仿宋" w:eastAsia="仿宋" w:cs="仿宋"/>
          <w:sz w:val="28"/>
          <w:szCs w:val="28"/>
          <w:lang w:val="en-US" w:eastAsia="zh-CN"/>
        </w:rPr>
        <w:t>特点</w:t>
      </w:r>
      <w:r>
        <w:rPr>
          <w:rFonts w:hint="eastAsia" w:ascii="仿宋" w:hAnsi="仿宋" w:eastAsia="仿宋" w:cs="仿宋"/>
          <w:sz w:val="28"/>
          <w:szCs w:val="28"/>
        </w:rPr>
        <w:t>和教学内容的实际情况，</w:t>
      </w:r>
      <w:r>
        <w:rPr>
          <w:rFonts w:hint="eastAsia" w:ascii="仿宋" w:hAnsi="仿宋" w:eastAsia="仿宋" w:cs="仿宋"/>
          <w:sz w:val="28"/>
          <w:szCs w:val="28"/>
          <w:lang w:val="en-US" w:eastAsia="zh-CN"/>
        </w:rPr>
        <w:t>主要</w:t>
      </w:r>
      <w:r>
        <w:rPr>
          <w:rFonts w:hint="eastAsia" w:ascii="仿宋" w:hAnsi="仿宋" w:eastAsia="仿宋" w:cs="仿宋"/>
          <w:sz w:val="28"/>
          <w:szCs w:val="28"/>
        </w:rPr>
        <w:t>运用项目教学、案例教学、情境教学、混合式教学等教学模式，推进信息技术与教学有机融合</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推进虚拟仿真辅助教学实施，并逐步完善虚拟仿真实训建设</w:t>
      </w:r>
      <w:r>
        <w:rPr>
          <w:rFonts w:hint="eastAsia" w:ascii="仿宋" w:hAnsi="仿宋" w:eastAsia="仿宋" w:cs="仿宋"/>
          <w:sz w:val="28"/>
          <w:szCs w:val="28"/>
        </w:rPr>
        <w:t>。</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（五）学习评价</w:t>
      </w:r>
      <w:bookmarkEnd w:id="52"/>
    </w:p>
    <w:p>
      <w:pPr>
        <w:spacing w:line="596" w:lineRule="exact"/>
        <w:ind w:firstLine="560" w:firstLineChars="200"/>
        <w:rPr>
          <w:rFonts w:hint="eastAsia" w:ascii="仿宋" w:hAnsi="仿宋" w:eastAsia="仿宋" w:cs="仿宋"/>
          <w:sz w:val="28"/>
          <w:szCs w:val="28"/>
        </w:rPr>
      </w:pPr>
      <w:bookmarkStart w:id="53" w:name="_Toc47"/>
      <w:r>
        <w:rPr>
          <w:rFonts w:hint="eastAsia" w:ascii="仿宋" w:hAnsi="仿宋" w:eastAsia="仿宋" w:cs="仿宋"/>
          <w:sz w:val="28"/>
          <w:szCs w:val="28"/>
        </w:rPr>
        <w:t>对</w:t>
      </w:r>
      <w:r>
        <w:rPr>
          <w:rFonts w:hint="eastAsia" w:ascii="仿宋" w:hAnsi="仿宋" w:eastAsia="仿宋" w:cs="仿宋"/>
          <w:sz w:val="28"/>
          <w:szCs w:val="28"/>
          <w:lang w:val="en-US" w:eastAsia="zh-CN"/>
        </w:rPr>
        <w:t>专业教学评价方法采用多角度多方式评价，</w:t>
      </w:r>
      <w:r>
        <w:rPr>
          <w:rFonts w:hint="eastAsia" w:ascii="仿宋" w:hAnsi="仿宋" w:eastAsia="仿宋" w:cs="仿宋"/>
          <w:sz w:val="28"/>
          <w:szCs w:val="28"/>
        </w:rPr>
        <w:t>内容上，可以从素质、知识、能力方面进行评价；方式上，可以采用笔试、口试、项目、实践活动等多种方式对学生进行评价，采取过程性评价和结果性评价相结合的方式进行。</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（六）质量保障</w:t>
      </w:r>
      <w:bookmarkEnd w:id="53"/>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3.专业教研组织建立线上线下相结合的集中备课制度，定期召开教学研讨会议，利用评价分析结果有效改进专业教学，持续提高人才培养质量。</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4.建立毕业生跟踪反馈机制及社会评价机制，并对生源情况、职业道德、技术技能水平、就业质量等进行分析，定期评价人才培养质量和培养目标达成情况。</w:t>
      </w:r>
    </w:p>
    <w:p>
      <w:pPr>
        <w:pStyle w:val="3"/>
        <w:spacing w:before="40" w:after="40" w:line="360" w:lineRule="auto"/>
        <w:ind w:firstLine="602" w:firstLineChars="200"/>
        <w:rPr>
          <w:rFonts w:hint="eastAsia" w:ascii="黑体" w:hAnsi="黑体" w:eastAsia="黑体" w:cs="黑体"/>
          <w:sz w:val="30"/>
          <w:szCs w:val="30"/>
        </w:rPr>
      </w:pPr>
      <w:bookmarkStart w:id="54" w:name="_Toc27668"/>
      <w:r>
        <w:rPr>
          <w:rFonts w:hint="eastAsia" w:ascii="黑体" w:hAnsi="黑体" w:eastAsia="黑体" w:cs="黑体"/>
          <w:sz w:val="30"/>
          <w:szCs w:val="30"/>
        </w:rPr>
        <w:t>九、毕业要求及学位授予</w:t>
      </w:r>
      <w:bookmarkEnd w:id="54"/>
    </w:p>
    <w:p>
      <w:pPr>
        <w:pStyle w:val="2"/>
        <w:ind w:firstLine="562" w:firstLineChars="200"/>
        <w:rPr>
          <w:rFonts w:hint="eastAsia" w:ascii="仿宋_GB2312" w:hAnsi="仿宋_GB2312" w:eastAsia="仿宋_GB2312" w:cs="仿宋_GB2312"/>
          <w:sz w:val="28"/>
          <w:szCs w:val="36"/>
        </w:rPr>
      </w:pPr>
      <w:bookmarkStart w:id="55" w:name="_Toc5931"/>
      <w:r>
        <w:rPr>
          <w:rFonts w:hint="eastAsia" w:ascii="仿宋_GB2312" w:hAnsi="仿宋_GB2312" w:eastAsia="仿宋_GB2312" w:cs="仿宋_GB2312"/>
          <w:sz w:val="28"/>
          <w:szCs w:val="36"/>
        </w:rPr>
        <w:t>（一）毕业要求</w:t>
      </w:r>
      <w:bookmarkEnd w:id="55"/>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学生在规定的学习年限内修满人才培养方案规定的各教学模块的学分，总学分达到</w:t>
      </w:r>
      <w:r>
        <w:rPr>
          <w:rFonts w:hint="eastAsia" w:ascii="仿宋" w:hAnsi="仿宋" w:eastAsia="仿宋" w:cs="仿宋"/>
          <w:sz w:val="28"/>
          <w:szCs w:val="28"/>
          <w:lang w:val="en-US" w:eastAsia="zh-CN"/>
        </w:rPr>
        <w:t>170</w:t>
      </w:r>
      <w:r>
        <w:rPr>
          <w:rFonts w:ascii="仿宋" w:hAnsi="仿宋" w:eastAsia="仿宋" w:cs="仿宋"/>
          <w:sz w:val="28"/>
          <w:szCs w:val="28"/>
        </w:rPr>
        <w:t>学分，其中各类必修学分达到</w:t>
      </w:r>
      <w:r>
        <w:rPr>
          <w:rFonts w:hint="eastAsia" w:ascii="仿宋" w:hAnsi="仿宋" w:eastAsia="仿宋" w:cs="仿宋"/>
          <w:sz w:val="28"/>
          <w:szCs w:val="28"/>
          <w:lang w:val="en-US" w:eastAsia="zh-CN"/>
        </w:rPr>
        <w:t>145</w:t>
      </w:r>
      <w:r>
        <w:rPr>
          <w:rFonts w:ascii="仿宋" w:hAnsi="仿宋" w:eastAsia="仿宋" w:cs="仿宋"/>
          <w:sz w:val="28"/>
          <w:szCs w:val="28"/>
        </w:rPr>
        <w:t>学分，选修学分达到</w:t>
      </w:r>
      <w:r>
        <w:rPr>
          <w:rFonts w:hint="eastAsia" w:ascii="仿宋" w:hAnsi="仿宋" w:eastAsia="仿宋" w:cs="仿宋"/>
          <w:sz w:val="28"/>
          <w:szCs w:val="28"/>
          <w:lang w:val="en-US" w:eastAsia="zh-CN"/>
        </w:rPr>
        <w:t>25</w:t>
      </w:r>
      <w:r>
        <w:rPr>
          <w:rFonts w:ascii="仿宋" w:hAnsi="仿宋" w:eastAsia="仿宋" w:cs="仿宋"/>
          <w:sz w:val="28"/>
          <w:szCs w:val="28"/>
        </w:rPr>
        <w:t>学分以上，第二课堂活动分</w:t>
      </w:r>
      <w:r>
        <w:rPr>
          <w:rFonts w:hint="eastAsia" w:ascii="仿宋" w:hAnsi="仿宋" w:eastAsia="仿宋" w:cs="仿宋"/>
          <w:sz w:val="28"/>
          <w:szCs w:val="28"/>
          <w:lang w:val="en-US" w:eastAsia="zh-CN"/>
        </w:rPr>
        <w:t>180</w:t>
      </w:r>
      <w:r>
        <w:rPr>
          <w:rFonts w:hint="eastAsia" w:ascii="仿宋" w:hAnsi="仿宋" w:eastAsia="仿宋" w:cs="仿宋"/>
          <w:sz w:val="28"/>
          <w:szCs w:val="28"/>
        </w:rPr>
        <w:t>分，准予</w:t>
      </w:r>
      <w:r>
        <w:rPr>
          <w:rFonts w:ascii="仿宋" w:hAnsi="仿宋" w:eastAsia="仿宋" w:cs="仿宋"/>
          <w:sz w:val="28"/>
          <w:szCs w:val="28"/>
        </w:rPr>
        <w:t>毕业。</w:t>
      </w:r>
    </w:p>
    <w:p>
      <w:pPr>
        <w:pStyle w:val="2"/>
        <w:ind w:firstLine="562" w:firstLineChars="200"/>
        <w:rPr>
          <w:rFonts w:hint="eastAsia" w:ascii="仿宋_GB2312" w:hAnsi="仿宋_GB2312" w:eastAsia="仿宋_GB2312" w:cs="仿宋_GB2312"/>
          <w:sz w:val="28"/>
          <w:szCs w:val="36"/>
        </w:rPr>
      </w:pPr>
      <w:bookmarkStart w:id="56" w:name="_Toc10945"/>
      <w:r>
        <w:rPr>
          <w:rFonts w:hint="eastAsia" w:ascii="仿宋_GB2312" w:hAnsi="仿宋_GB2312" w:eastAsia="仿宋_GB2312" w:cs="仿宋_GB2312"/>
          <w:sz w:val="28"/>
          <w:szCs w:val="36"/>
        </w:rPr>
        <w:t>（二）学位授予</w:t>
      </w:r>
      <w:bookmarkEnd w:id="56"/>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符合</w:t>
      </w:r>
      <w:r>
        <w:rPr>
          <w:rFonts w:hint="eastAsia" w:ascii="仿宋" w:hAnsi="仿宋" w:eastAsia="仿宋" w:cs="仿宋"/>
          <w:sz w:val="28"/>
          <w:szCs w:val="28"/>
        </w:rPr>
        <w:t>授予学位要求的</w:t>
      </w:r>
      <w:r>
        <w:rPr>
          <w:rFonts w:ascii="仿宋" w:hAnsi="仿宋" w:eastAsia="仿宋" w:cs="仿宋"/>
          <w:sz w:val="28"/>
          <w:szCs w:val="28"/>
        </w:rPr>
        <w:t>毕业生授予</w:t>
      </w:r>
      <w:r>
        <w:rPr>
          <w:rFonts w:hint="eastAsia" w:ascii="仿宋" w:hAnsi="仿宋" w:eastAsia="仿宋" w:cs="仿宋"/>
          <w:sz w:val="28"/>
          <w:szCs w:val="28"/>
          <w:lang w:val="en-US" w:eastAsia="zh-CN"/>
        </w:rPr>
        <w:t>工学</w:t>
      </w:r>
      <w:r>
        <w:rPr>
          <w:rFonts w:ascii="仿宋" w:hAnsi="仿宋" w:eastAsia="仿宋" w:cs="仿宋"/>
          <w:sz w:val="28"/>
          <w:szCs w:val="28"/>
        </w:rPr>
        <w:t>学士学位</w:t>
      </w:r>
      <w:r>
        <w:rPr>
          <w:rFonts w:hint="eastAsia" w:ascii="仿宋" w:hAnsi="仿宋" w:eastAsia="仿宋" w:cs="仿宋"/>
          <w:sz w:val="28"/>
          <w:szCs w:val="28"/>
        </w:rPr>
        <w:t>。</w:t>
      </w:r>
    </w:p>
    <w:p>
      <w:pPr>
        <w:pStyle w:val="3"/>
        <w:spacing w:before="40" w:after="40" w:line="360" w:lineRule="auto"/>
        <w:ind w:firstLine="602" w:firstLineChars="200"/>
        <w:rPr>
          <w:rFonts w:hint="eastAsia" w:ascii="黑体" w:hAnsi="黑体" w:eastAsia="黑体" w:cs="黑体"/>
          <w:sz w:val="30"/>
          <w:szCs w:val="30"/>
        </w:rPr>
      </w:pPr>
      <w:bookmarkStart w:id="57" w:name="_Toc19930"/>
      <w:r>
        <w:rPr>
          <w:rFonts w:hint="eastAsia" w:ascii="黑体" w:hAnsi="黑体" w:eastAsia="黑体" w:cs="黑体"/>
          <w:sz w:val="30"/>
          <w:szCs w:val="30"/>
        </w:rPr>
        <w:t>十、附录</w:t>
      </w:r>
      <w:bookmarkEnd w:id="57"/>
    </w:p>
    <w:p>
      <w:pPr>
        <w:pStyle w:val="2"/>
        <w:ind w:firstLine="562" w:firstLineChars="200"/>
        <w:rPr>
          <w:rFonts w:hint="eastAsia" w:ascii="仿宋_GB2312" w:hAnsi="仿宋_GB2312" w:eastAsia="仿宋_GB2312" w:cs="仿宋_GB2312"/>
          <w:sz w:val="28"/>
          <w:szCs w:val="36"/>
        </w:rPr>
      </w:pPr>
      <w:bookmarkStart w:id="58" w:name="_Toc13743"/>
      <w:r>
        <w:rPr>
          <w:rFonts w:hint="eastAsia" w:ascii="仿宋_GB2312" w:hAnsi="仿宋_GB2312" w:eastAsia="仿宋_GB2312" w:cs="仿宋_GB2312"/>
          <w:sz w:val="28"/>
          <w:szCs w:val="36"/>
        </w:rPr>
        <w:t>（一）第一课堂进程安排表</w:t>
      </w:r>
      <w:bookmarkEnd w:id="58"/>
    </w:p>
    <w:p>
      <w:pPr>
        <w:rPr>
          <w:rFonts w:hint="eastAsia" w:ascii="仿宋" w:hAnsi="仿宋" w:eastAsia="仿宋" w:cs="仿宋"/>
          <w:sz w:val="28"/>
          <w:szCs w:val="36"/>
        </w:rPr>
      </w:pPr>
      <w:r>
        <w:rPr>
          <w:rFonts w:hint="eastAsia" w:ascii="仿宋" w:hAnsi="仿宋" w:eastAsia="仿宋" w:cs="仿宋"/>
          <w:sz w:val="28"/>
          <w:szCs w:val="36"/>
        </w:rPr>
        <w:br w:type="page"/>
      </w:r>
    </w:p>
    <w:p>
      <w:pPr>
        <w:sectPr>
          <w:footerReference r:id="rId6" w:type="default"/>
          <w:pgSz w:w="11906" w:h="16838"/>
          <w:pgMar w:top="1440" w:right="1800" w:bottom="1440" w:left="1800" w:header="851" w:footer="992" w:gutter="0"/>
          <w:pgNumType w:fmt="decimal"/>
          <w:cols w:space="425" w:num="1"/>
          <w:docGrid w:type="lines" w:linePitch="312" w:charSpace="0"/>
        </w:sectPr>
      </w:pPr>
    </w:p>
    <w:p>
      <w:pPr>
        <w:jc w:val="center"/>
        <w:rPr>
          <w:b/>
          <w:bCs/>
          <w:sz w:val="24"/>
          <w:szCs w:val="32"/>
        </w:rPr>
      </w:pPr>
      <w:r>
        <w:rPr>
          <w:rFonts w:hint="eastAsia"/>
          <w:b/>
          <w:bCs/>
          <w:sz w:val="24"/>
          <w:szCs w:val="32"/>
        </w:rPr>
        <w:t>表</w:t>
      </w:r>
      <w:r>
        <w:rPr>
          <w:rFonts w:hint="eastAsia"/>
          <w:b/>
          <w:bCs/>
          <w:sz w:val="24"/>
          <w:szCs w:val="32"/>
          <w:lang w:val="en-US" w:eastAsia="zh-CN"/>
        </w:rPr>
        <w:t>8</w:t>
      </w:r>
      <w:r>
        <w:rPr>
          <w:rFonts w:hint="eastAsia"/>
          <w:b/>
          <w:bCs/>
          <w:sz w:val="24"/>
          <w:szCs w:val="32"/>
        </w:rPr>
        <w:t xml:space="preserve">  第一课堂进程安排表</w:t>
      </w: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12"/>
        <w:gridCol w:w="859"/>
        <w:gridCol w:w="611"/>
        <w:gridCol w:w="2490"/>
        <w:gridCol w:w="552"/>
        <w:gridCol w:w="700"/>
        <w:gridCol w:w="731"/>
        <w:gridCol w:w="912"/>
        <w:gridCol w:w="919"/>
        <w:gridCol w:w="579"/>
        <w:gridCol w:w="592"/>
        <w:gridCol w:w="579"/>
        <w:gridCol w:w="579"/>
        <w:gridCol w:w="579"/>
        <w:gridCol w:w="592"/>
        <w:gridCol w:w="592"/>
        <w:gridCol w:w="592"/>
        <w:gridCol w:w="11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blHeader/>
        </w:trPr>
        <w:tc>
          <w:tcPr>
            <w:tcW w:w="147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课程模块</w:t>
            </w:r>
          </w:p>
        </w:tc>
        <w:tc>
          <w:tcPr>
            <w:tcW w:w="6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24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课程名称</w:t>
            </w:r>
          </w:p>
        </w:tc>
        <w:tc>
          <w:tcPr>
            <w:tcW w:w="5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总学分</w:t>
            </w:r>
          </w:p>
        </w:tc>
        <w:tc>
          <w:tcPr>
            <w:tcW w:w="7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总学时</w:t>
            </w:r>
          </w:p>
        </w:tc>
        <w:tc>
          <w:tcPr>
            <w:tcW w:w="256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学时</w:t>
            </w:r>
          </w:p>
        </w:tc>
        <w:tc>
          <w:tcPr>
            <w:tcW w:w="1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第一学年</w:t>
            </w:r>
          </w:p>
        </w:tc>
        <w:tc>
          <w:tcPr>
            <w:tcW w:w="115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第二学年</w:t>
            </w:r>
          </w:p>
        </w:tc>
        <w:tc>
          <w:tcPr>
            <w:tcW w:w="1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第三学年</w:t>
            </w:r>
          </w:p>
        </w:tc>
        <w:tc>
          <w:tcPr>
            <w:tcW w:w="11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第四学年</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blHeader/>
        </w:trPr>
        <w:tc>
          <w:tcPr>
            <w:tcW w:w="147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6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2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5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7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课内理论</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课内实验/实训</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课外实践教学</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7</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8</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通识必修课程</w:t>
            </w: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军事理论</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22</w:t>
            </w:r>
          </w:p>
        </w:tc>
        <w:tc>
          <w:tcPr>
            <w:tcW w:w="91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2"/>
                <w:szCs w:val="22"/>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2"/>
                <w:szCs w:val="22"/>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形势与政策（一）-（六）</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both"/>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马克思主义基本原理</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中国近现代史纲要</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毛泽东思想和中国特色社会主义理论体系概论</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2"/>
                <w:szCs w:val="22"/>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大学生职业发展与就业指导（一）-（二）</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第3、5学期各6个课外学时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大学生创新与创业实务（一）-（二）</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第4、6学期各6个课外学时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大学生安全教育（一）-（六）</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每学期按0.25学分计；</w:t>
            </w:r>
            <w:r>
              <w:rPr>
                <w:rFonts w:hint="eastAsia" w:ascii="仿宋_GB2312" w:hAnsi="仿宋_GB2312" w:eastAsia="仿宋_GB2312" w:cs="仿宋_GB2312"/>
                <w:i w:val="0"/>
                <w:iCs w:val="0"/>
                <w:color w:val="000000"/>
                <w:kern w:val="0"/>
                <w:sz w:val="21"/>
                <w:szCs w:val="21"/>
                <w:u w:val="none"/>
                <w:lang w:val="en-US" w:eastAsia="zh-CN" w:bidi="ar"/>
              </w:rPr>
              <w:br w:type="textWrapping"/>
            </w:r>
            <w:r>
              <w:rPr>
                <w:rFonts w:hint="eastAsia" w:ascii="仿宋_GB2312" w:hAnsi="仿宋_GB2312" w:eastAsia="仿宋_GB2312" w:cs="仿宋_GB2312"/>
                <w:i w:val="0"/>
                <w:iCs w:val="0"/>
                <w:color w:val="000000"/>
                <w:kern w:val="0"/>
                <w:sz w:val="21"/>
                <w:szCs w:val="21"/>
                <w:u w:val="none"/>
                <w:lang w:val="en-US" w:eastAsia="zh-CN" w:bidi="ar"/>
              </w:rPr>
              <w:t>每学期各2个课外学时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军事技能</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大学生心理健康教育（一）-（二）</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第1-2学期各3个课外学时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大学体育（一）-（四）</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144</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每学期按1.5学分计；</w:t>
            </w:r>
            <w:r>
              <w:rPr>
                <w:rFonts w:hint="eastAsia" w:ascii="仿宋_GB2312" w:hAnsi="仿宋_GB2312" w:eastAsia="仿宋_GB2312" w:cs="仿宋_GB2312"/>
                <w:i w:val="0"/>
                <w:iCs w:val="0"/>
                <w:color w:val="000000"/>
                <w:kern w:val="0"/>
                <w:sz w:val="21"/>
                <w:szCs w:val="21"/>
                <w:u w:val="none"/>
                <w:lang w:val="en-US" w:eastAsia="zh-CN" w:bidi="ar"/>
              </w:rPr>
              <w:br w:type="textWrapping"/>
            </w:r>
            <w:r>
              <w:rPr>
                <w:rFonts w:hint="eastAsia" w:ascii="仿宋_GB2312" w:hAnsi="仿宋_GB2312" w:eastAsia="仿宋_GB2312" w:cs="仿宋_GB2312"/>
                <w:i w:val="0"/>
                <w:iCs w:val="0"/>
                <w:color w:val="000000"/>
                <w:kern w:val="0"/>
                <w:sz w:val="21"/>
                <w:szCs w:val="21"/>
                <w:u w:val="none"/>
                <w:lang w:val="en-US" w:eastAsia="zh-CN" w:bidi="ar"/>
              </w:rPr>
              <w:t>每学期各4个课外学时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艺术修养</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大学英语（一）-（二）</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84</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信息技术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精益生产与管理基础</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2490"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人工智能应用基础</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eastAsia="zh-CN"/>
              </w:rPr>
            </w:pPr>
            <w:r>
              <w:rPr>
                <w:rFonts w:hint="eastAsia" w:ascii="仿宋_GB2312" w:hAnsi="仿宋_GB2312" w:eastAsia="仿宋_GB2312" w:cs="仿宋_GB2312"/>
                <w:i w:val="0"/>
                <w:iCs w:val="0"/>
                <w:color w:val="000000"/>
                <w:sz w:val="21"/>
                <w:szCs w:val="21"/>
                <w:u w:val="none"/>
                <w:lang w:val="en-US" w:eastAsia="zh-CN"/>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471" w:type="dxa"/>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310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52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980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510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270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200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356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224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152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144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76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28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0</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通识选修课程</w:t>
            </w:r>
          </w:p>
        </w:tc>
        <w:tc>
          <w:tcPr>
            <w:tcW w:w="859"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限定选修课程</w:t>
            </w:r>
          </w:p>
        </w:tc>
        <w:tc>
          <w:tcPr>
            <w:tcW w:w="6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四史类</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中国共产党简史</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4684" w:type="dxa"/>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至少修得1学分</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社会主义发展史</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4684" w:type="dxa"/>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新中国史</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4684" w:type="dxa"/>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改革开放史</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4684" w:type="dxa"/>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人文素养类</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4684" w:type="dxa"/>
            <w:gridSpan w:val="8"/>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至少修得1学分</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4684" w:type="dxa"/>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应用文写作</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4684" w:type="dxa"/>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sz w:val="21"/>
                <w:szCs w:val="21"/>
                <w:u w:val="none"/>
              </w:rPr>
              <w:t>第三学期开设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4684" w:type="dxa"/>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任意选修课程</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3101" w:type="dxa"/>
            <w:gridSpan w:val="2"/>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96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lang w:val="en-US" w:eastAsia="zh-CN"/>
              </w:rPr>
            </w:pPr>
            <w:r>
              <w:rPr>
                <w:rFonts w:hint="eastAsia" w:ascii="仿宋_GB2312" w:hAnsi="仿宋_GB2312" w:eastAsia="仿宋_GB2312" w:cs="仿宋_GB2312"/>
                <w:b/>
                <w:bCs/>
                <w:i w:val="0"/>
                <w:iCs w:val="0"/>
                <w:color w:val="000000"/>
                <w:sz w:val="21"/>
                <w:szCs w:val="21"/>
                <w:u w:val="none"/>
                <w:lang w:val="en-US" w:eastAsia="zh-CN"/>
              </w:rPr>
              <w:t>60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lang w:val="en-US" w:eastAsia="zh-CN"/>
              </w:rPr>
            </w:pPr>
            <w:r>
              <w:rPr>
                <w:rFonts w:hint="eastAsia" w:ascii="仿宋_GB2312" w:hAnsi="仿宋_GB2312" w:eastAsia="仿宋_GB2312" w:cs="仿宋_GB2312"/>
                <w:b/>
                <w:bCs/>
                <w:i w:val="0"/>
                <w:iCs w:val="0"/>
                <w:color w:val="000000"/>
                <w:sz w:val="21"/>
                <w:szCs w:val="21"/>
                <w:u w:val="none"/>
                <w:lang w:val="en-US" w:eastAsia="zh-CN"/>
              </w:rPr>
              <w:t>36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专业必修课程</w:t>
            </w:r>
          </w:p>
        </w:tc>
        <w:tc>
          <w:tcPr>
            <w:tcW w:w="859"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专业通识课程</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线性代数</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大学物理</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专业基础课程</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入学教育与专业入门</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电工与电子技术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80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机械制图</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机械设计基础</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机械制造技术基础</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工程力学</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电气控制与PLC应用技术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液压与气动技术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专业核心课程</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数字化设计与仿真</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电机与运动控制技术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工业机器人应用技术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数控机床编程与操作</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电气控制系统设计与装调</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机电产品数字孪生技术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自动化生产线设计与调试</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56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专业拓展课</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工业控制网络技术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传感器与视觉检测技术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机电设备故障诊断与维修</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310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61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976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564</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316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96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160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160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176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184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152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144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top"/>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0</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综合实践课程</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919" w:type="dxa"/>
            <w:tcBorders>
              <w:top w:val="nil"/>
              <w:left w:val="nil"/>
              <w:bottom w:val="nil"/>
              <w:right w:val="nil"/>
            </w:tcBorders>
            <w:shd w:val="clear" w:color="auto" w:fill="auto"/>
            <w:noWrap/>
            <w:vAlign w:val="center"/>
          </w:tcPr>
          <w:p>
            <w:pPr>
              <w:rPr>
                <w:rFonts w:hint="eastAsia" w:ascii="仿宋_GB2312" w:hAnsi="仿宋_GB2312" w:eastAsia="仿宋_GB2312" w:cs="仿宋_GB2312"/>
                <w:i w:val="0"/>
                <w:iCs w:val="0"/>
                <w:color w:val="000000"/>
                <w:sz w:val="22"/>
                <w:szCs w:val="22"/>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电工技能实训</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学期综合实践项目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CAD工程图绘制</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机电产品创新设计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kern w:val="0"/>
                <w:sz w:val="21"/>
                <w:szCs w:val="21"/>
                <w:u w:val="none"/>
                <w:lang w:val="en-US" w:eastAsia="zh-CN" w:bidi="ar"/>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智能制造产线调试与运行</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课程设计1：机械零件测绘</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课程设计2：PLC项目设计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课程设计3：机械产品数字化设计与仿真</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课程设计4：机械零部件数控加工</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1"/>
                <w:szCs w:val="21"/>
                <w:u w:val="none"/>
              </w:rPr>
            </w:pPr>
          </w:p>
        </w:tc>
        <w:tc>
          <w:tcPr>
            <w:tcW w:w="1104"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毕业设计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综合实践</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岗位实习</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240</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310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932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0</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240</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692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90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30</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450</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240</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专业选修课程</w:t>
            </w:r>
          </w:p>
        </w:tc>
        <w:tc>
          <w:tcPr>
            <w:tcW w:w="859" w:type="dxa"/>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自动控制原理</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电气制图</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嵌入式系统设计与应用</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高级语言程序设计</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激光应用技术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机器人焊接技术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3D打印技术</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人工智能（AI）与机器学习</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设备管理与预防维修</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kern w:val="0"/>
                <w:sz w:val="20"/>
                <w:szCs w:val="20"/>
                <w:u w:val="none"/>
                <w:lang w:val="en-US" w:eastAsia="zh-CN" w:bidi="ar"/>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智能制造装备及系统</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“微专业”课程组</w:t>
            </w: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lang w:val="en-US"/>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2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310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5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19</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304</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152</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152</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32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64</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64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64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r>
              <w:rPr>
                <w:rFonts w:hint="eastAsia" w:ascii="仿宋_GB2312" w:hAnsi="仿宋_GB2312" w:eastAsia="仿宋_GB2312" w:cs="仿宋_GB2312"/>
                <w:b/>
                <w:bCs/>
                <w:i w:val="0"/>
                <w:iCs w:val="0"/>
                <w:color w:val="000000"/>
                <w:kern w:val="0"/>
                <w:sz w:val="20"/>
                <w:szCs w:val="20"/>
                <w:u w:val="none"/>
                <w:lang w:val="en-US" w:eastAsia="zh-CN" w:bidi="ar"/>
              </w:rPr>
              <w:t>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0"/>
                <w:szCs w:val="20"/>
                <w:u w:val="none"/>
              </w:rPr>
            </w:pP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6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0"/>
                <w:szCs w:val="20"/>
                <w:u w:val="none"/>
              </w:rPr>
            </w:pPr>
          </w:p>
        </w:tc>
        <w:tc>
          <w:tcPr>
            <w:tcW w:w="12703"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注：含学生自主选修“微专业”8个学分，由学生自主选修。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457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合计</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170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3288</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1286</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1014</w:t>
            </w:r>
          </w:p>
        </w:tc>
        <w:tc>
          <w:tcPr>
            <w:tcW w:w="9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988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548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522</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436</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438</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338</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252</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514</w:t>
            </w:r>
          </w:p>
        </w:tc>
        <w:tc>
          <w:tcPr>
            <w:tcW w:w="5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240</w:t>
            </w:r>
          </w:p>
        </w:tc>
        <w:tc>
          <w:tcPr>
            <w:tcW w:w="11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8386" w:type="dxa"/>
            <w:gridSpan w:val="9"/>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2"/>
                <w:szCs w:val="22"/>
                <w:u w:val="none"/>
              </w:rPr>
            </w:pPr>
            <w:r>
              <w:rPr>
                <w:rFonts w:hint="eastAsia" w:ascii="仿宋_GB2312" w:hAnsi="仿宋_GB2312" w:eastAsia="仿宋_GB2312" w:cs="仿宋_GB2312"/>
                <w:i w:val="0"/>
                <w:iCs w:val="0"/>
                <w:color w:val="000000"/>
                <w:kern w:val="0"/>
                <w:sz w:val="22"/>
                <w:szCs w:val="22"/>
                <w:u w:val="none"/>
                <w:lang w:val="en-US" w:eastAsia="zh-CN" w:bidi="ar"/>
              </w:rPr>
              <w:t xml:space="preserve">                周学时</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28.57 </w:t>
            </w:r>
          </w:p>
        </w:tc>
        <w:tc>
          <w:tcPr>
            <w:tcW w:w="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32.63 </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27.25 </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27.38 </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21.13 </w:t>
            </w:r>
          </w:p>
        </w:tc>
        <w:tc>
          <w:tcPr>
            <w:tcW w:w="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15.75 </w:t>
            </w:r>
          </w:p>
        </w:tc>
        <w:tc>
          <w:tcPr>
            <w:tcW w:w="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32.13 </w:t>
            </w:r>
          </w:p>
        </w:tc>
        <w:tc>
          <w:tcPr>
            <w:tcW w:w="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 xml:space="preserve">15.00 </w:t>
            </w:r>
          </w:p>
        </w:tc>
        <w:tc>
          <w:tcPr>
            <w:tcW w:w="11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仿宋_GB2312" w:hAnsi="仿宋_GB2312" w:eastAsia="仿宋_GB2312" w:cs="仿宋_GB2312"/>
                <w:i w:val="0"/>
                <w:iCs w:val="0"/>
                <w:color w:val="000000"/>
                <w:sz w:val="22"/>
                <w:szCs w:val="22"/>
                <w:u w:val="none"/>
              </w:rPr>
            </w:pPr>
          </w:p>
        </w:tc>
      </w:tr>
    </w:tbl>
    <w:p>
      <w:pPr>
        <w:pStyle w:val="25"/>
        <w:adjustRightInd w:val="0"/>
        <w:snapToGrid w:val="0"/>
        <w:spacing w:line="360" w:lineRule="auto"/>
        <w:ind w:left="480" w:firstLine="0" w:firstLineChars="0"/>
        <w:rPr>
          <w:rFonts w:hint="eastAsia" w:ascii="仿宋" w:hAnsi="仿宋" w:eastAsia="仿宋" w:cs="仿宋"/>
          <w:sz w:val="28"/>
          <w:szCs w:val="28"/>
        </w:rPr>
        <w:sectPr>
          <w:pgSz w:w="16838" w:h="11906" w:orient="landscape"/>
          <w:pgMar w:top="1803" w:right="1440" w:bottom="1803" w:left="1440" w:header="851" w:footer="992" w:gutter="0"/>
          <w:pgNumType w:fmt="decimal"/>
          <w:cols w:space="0" w:num="1"/>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59" w:name="_Toc2755"/>
      <w:r>
        <w:rPr>
          <w:rFonts w:hint="eastAsia" w:ascii="仿宋_GB2312" w:hAnsi="仿宋_GB2312" w:eastAsia="仿宋_GB2312" w:cs="仿宋_GB2312"/>
          <w:sz w:val="28"/>
          <w:szCs w:val="36"/>
        </w:rPr>
        <w:t>（二）第二课堂活动安排表</w:t>
      </w:r>
      <w:bookmarkEnd w:id="59"/>
    </w:p>
    <w:p/>
    <w:p>
      <w:pPr>
        <w:jc w:val="center"/>
        <w:rPr>
          <w:b/>
          <w:bCs/>
        </w:rPr>
      </w:pPr>
      <w:r>
        <w:rPr>
          <w:rFonts w:hint="eastAsia"/>
          <w:b/>
          <w:bCs/>
        </w:rPr>
        <w:t>表</w:t>
      </w:r>
      <w:r>
        <w:rPr>
          <w:rFonts w:hint="eastAsia"/>
          <w:b/>
          <w:bCs/>
          <w:lang w:val="en-US" w:eastAsia="zh-CN"/>
        </w:rPr>
        <w:t>9</w:t>
      </w:r>
      <w:r>
        <w:rPr>
          <w:rFonts w:hint="eastAsia"/>
          <w:b/>
          <w:bCs/>
        </w:rPr>
        <w:t xml:space="preserve"> 第二课堂活动安排表</w:t>
      </w:r>
    </w:p>
    <w:tbl>
      <w:tblPr>
        <w:tblStyle w:val="15"/>
        <w:tblW w:w="0" w:type="auto"/>
        <w:tblInd w:w="0" w:type="dxa"/>
        <w:tblLayout w:type="autofit"/>
        <w:tblCellMar>
          <w:top w:w="0" w:type="dxa"/>
          <w:left w:w="108" w:type="dxa"/>
          <w:bottom w:w="0" w:type="dxa"/>
          <w:right w:w="108" w:type="dxa"/>
        </w:tblCellMar>
      </w:tblPr>
      <w:tblGrid>
        <w:gridCol w:w="1522"/>
        <w:gridCol w:w="512"/>
        <w:gridCol w:w="2027"/>
        <w:gridCol w:w="725"/>
        <w:gridCol w:w="426"/>
        <w:gridCol w:w="426"/>
        <w:gridCol w:w="426"/>
        <w:gridCol w:w="426"/>
        <w:gridCol w:w="426"/>
        <w:gridCol w:w="426"/>
        <w:gridCol w:w="426"/>
        <w:gridCol w:w="426"/>
        <w:gridCol w:w="4219"/>
        <w:gridCol w:w="1761"/>
      </w:tblGrid>
      <w:tr>
        <w:tblPrEx>
          <w:tblCellMar>
            <w:top w:w="0" w:type="dxa"/>
            <w:left w:w="108" w:type="dxa"/>
            <w:bottom w:w="0" w:type="dxa"/>
            <w:right w:w="108" w:type="dxa"/>
          </w:tblCellMar>
        </w:tblPrEx>
        <w:trPr>
          <w:trHeight w:val="174" w:hRule="atLeast"/>
          <w:tblHead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活动体系分类</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活动分/次</w:t>
            </w:r>
          </w:p>
        </w:tc>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学期安排</w:t>
            </w:r>
          </w:p>
        </w:tc>
        <w:tc>
          <w:tcPr>
            <w:tcW w:w="42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活动对应课程名称</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42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（一）“立德修身”模块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厚植爱国爱校情怀教育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形势与政策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法治教育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思想道德与法治</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41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新时代党的创新理论学习活动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习近平新时代中国特色社会主义思想概论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103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铸牢中华民族共同体意识教育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中华民族共同体概论、中国近现代史纲要、马克思主义基本原理、毛泽东思想和中国特色社会主义理论体系概论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行为规范准则教育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校情教育与学习管理教育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励志教育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感恩教育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诚信教育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（二）“启智增知”模块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职业生涯规划大赛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大学生职业发展与就业指导</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中国国际大学生创新大赛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大学生创新与创业实务</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教务处+通识教育学院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创新创业训练营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创客马拉松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模拟招聘大赛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就业处+通识教育学院</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大学生演讲赛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大学语文</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经典诵读比赛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大学生辩论赛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英语口语技能赛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大学生英语竞赛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英语风采赛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阅读活动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图书馆</w:t>
            </w:r>
          </w:p>
        </w:tc>
      </w:tr>
      <w:tr>
        <w:tblPrEx>
          <w:tblCellMar>
            <w:top w:w="0" w:type="dxa"/>
            <w:left w:w="108" w:type="dxa"/>
            <w:bottom w:w="0" w:type="dxa"/>
            <w:right w:w="108" w:type="dxa"/>
          </w:tblCellMar>
        </w:tblPrEx>
        <w:trPr>
          <w:trHeight w:val="27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数学文化讲座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val="en-US" w:eastAsia="zh-CN" w:bidi="ar"/>
              </w:rPr>
              <w:t>经济</w:t>
            </w:r>
            <w:r>
              <w:rPr>
                <w:rFonts w:hint="eastAsia" w:ascii="仿宋_GB2312" w:hAnsi="仿宋_GB2312" w:eastAsia="仿宋_GB2312" w:cs="仿宋_GB2312"/>
                <w:color w:val="000000"/>
                <w:kern w:val="0"/>
                <w:szCs w:val="21"/>
                <w:lang w:bidi="ar"/>
              </w:rPr>
              <w:t>数学</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高等数学</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数学建模竞赛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大学生数独竞赛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（三）“强体健心”模块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心理健康团体辅导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大学生心理健康教育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心理剧大赛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心理电影赏析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阳光长跑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大学体育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气排球联赛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羽毛球联赛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篮球联赛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广西三月三民族体育文化节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31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田径运动会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校田径运动会组委会+二级学院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安全教育</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大学生安全教育、</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国家安全教育</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适应教育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新生入学教育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禁毒、防艾教育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学工处+团委+二级学院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（四）“美韵育情”模块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中华优秀传统文化教育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中国优秀传统文化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马克思主义学院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文明素养礼仪活动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通用礼仪</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“五·四”文化艺术节系列活动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“社团文化艺术节”系列活动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（五）“实践砺志”模块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劳动教育—工业·匠心</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垃圾分类教育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后勤处+学工处+团委</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科学商店进社区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假期社会实践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志愿者服务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三下乡活动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社区挂职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新生节活动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bl>
    <w:p>
      <w:pPr>
        <w:sectPr>
          <w:pgSz w:w="16838" w:h="11906" w:orient="landscape"/>
          <w:pgMar w:top="1803" w:right="1440" w:bottom="1803" w:left="1440" w:header="851" w:footer="992" w:gutter="0"/>
          <w:pgNumType w:fmt="decimal"/>
          <w:cols w:space="0" w:num="1"/>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60" w:name="_Toc9726"/>
      <w:r>
        <w:rPr>
          <w:rFonts w:hint="eastAsia" w:ascii="仿宋_GB2312" w:hAnsi="仿宋_GB2312" w:eastAsia="仿宋_GB2312" w:cs="仿宋_GB2312"/>
          <w:sz w:val="28"/>
          <w:szCs w:val="36"/>
        </w:rPr>
        <w:t>（三）专业人才培养方案制定的说明</w:t>
      </w:r>
      <w:bookmarkEnd w:id="60"/>
    </w:p>
    <w:p>
      <w:pPr>
        <w:adjustRightInd w:val="0"/>
        <w:snapToGrid w:val="0"/>
        <w:spacing w:line="360" w:lineRule="auto"/>
        <w:ind w:firstLine="560" w:firstLineChars="200"/>
        <w:rPr>
          <w:rFonts w:hint="eastAsia" w:ascii="仿宋" w:hAnsi="仿宋" w:eastAsia="仿宋" w:cs="仿宋"/>
          <w:color w:val="auto"/>
          <w:sz w:val="28"/>
          <w:szCs w:val="28"/>
          <w:highlight w:val="none"/>
          <w:lang w:val="en-US" w:eastAsia="zh-CN"/>
        </w:rPr>
      </w:pPr>
      <w:bookmarkStart w:id="61" w:name="_Toc1106"/>
      <w:r>
        <w:rPr>
          <w:rFonts w:hint="eastAsia" w:ascii="仿宋" w:hAnsi="仿宋" w:eastAsia="仿宋" w:cs="仿宋"/>
          <w:color w:val="auto"/>
          <w:sz w:val="28"/>
          <w:szCs w:val="28"/>
          <w:highlight w:val="none"/>
          <w:lang w:val="en-US" w:eastAsia="zh-CN"/>
        </w:rPr>
        <w:t>人才培养方案制定主要依据《职业教育国家教学标准体系》中所规定的《职业教育专业目录(2021年)》《职业教育专业简介(2022年修订)》《高等职业学校专业教学标准》《职业学校专业(类)岗位实习标准》《职业院校专业实训教学条件建设标准(职业学校专业仪器设备装备规范)》并结合我校《柳州职业技术学院关于制订本科层次职业教育专业人才培养方案的指导性意见》等相关规定，联系校企合作企业专家结合职业本科学生特点，并依托专科专业机电一体化技术专业实际情况进行制定。</w:t>
      </w:r>
    </w:p>
    <w:p>
      <w:pPr>
        <w:adjustRightInd w:val="0"/>
        <w:snapToGrid w:val="0"/>
        <w:spacing w:line="360" w:lineRule="auto"/>
        <w:ind w:firstLine="560" w:firstLineChars="200"/>
        <w:rPr>
          <w:rFonts w:hint="eastAsia" w:ascii="仿宋" w:hAnsi="仿宋" w:eastAsia="仿宋" w:cs="仿宋"/>
          <w:color w:val="auto"/>
          <w:sz w:val="28"/>
          <w:szCs w:val="28"/>
          <w:highlight w:val="none"/>
          <w:lang w:eastAsia="zh-CN"/>
        </w:rPr>
      </w:pPr>
      <w:r>
        <w:rPr>
          <w:rFonts w:hint="eastAsia" w:ascii="仿宋" w:hAnsi="仿宋" w:eastAsia="仿宋" w:cs="仿宋"/>
          <w:color w:val="auto"/>
          <w:sz w:val="28"/>
          <w:szCs w:val="28"/>
          <w:highlight w:val="none"/>
        </w:rPr>
        <w:t>团队老师：王富春</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刘方平</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邓海英</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lang w:val="en-US" w:eastAsia="zh-CN"/>
        </w:rPr>
        <w:t>李东恒</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覃峰</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杨达飞</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罗洪波</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陈华</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熊举化</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蓝雄</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钟俏灵</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苏磊</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叶青</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陆莲仕</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赵云俊</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强壮</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何秀</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谭琛</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刘春梅</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谭顺学</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史美娟</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李杨</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谷礼双</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黄斌</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范然然</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劳淞</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张栩涛</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黄汉斌</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楼华山</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董桂馥</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王克胜</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祝荣欣</w:t>
      </w:r>
    </w:p>
    <w:p>
      <w:pPr>
        <w:adjustRightInd w:val="0"/>
        <w:snapToGrid w:val="0"/>
        <w:spacing w:line="360" w:lineRule="auto"/>
        <w:ind w:firstLine="560" w:firstLineChars="200"/>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参与制定人员：</w:t>
      </w:r>
    </w:p>
    <w:p>
      <w:pPr>
        <w:adjustRightInd w:val="0"/>
        <w:snapToGrid w:val="0"/>
        <w:spacing w:line="360" w:lineRule="auto"/>
        <w:ind w:firstLine="560" w:firstLineChars="200"/>
        <w:rPr>
          <w:rFonts w:hint="eastAsia" w:ascii="仿宋" w:hAnsi="仿宋" w:eastAsia="仿宋" w:cs="仿宋"/>
          <w:color w:val="auto"/>
          <w:sz w:val="28"/>
          <w:szCs w:val="28"/>
          <w:highlight w:val="none"/>
          <w:lang w:eastAsia="zh-CN"/>
        </w:rPr>
      </w:pPr>
      <w:r>
        <w:rPr>
          <w:rFonts w:hint="eastAsia" w:ascii="仿宋" w:hAnsi="仿宋" w:eastAsia="仿宋" w:cs="仿宋"/>
          <w:color w:val="auto"/>
          <w:sz w:val="28"/>
          <w:szCs w:val="28"/>
          <w:highlight w:val="none"/>
        </w:rPr>
        <w:t>校内</w:t>
      </w:r>
      <w:r>
        <w:rPr>
          <w:rFonts w:hint="eastAsia" w:ascii="仿宋" w:hAnsi="仿宋" w:eastAsia="仿宋" w:cs="仿宋"/>
          <w:color w:val="auto"/>
          <w:sz w:val="28"/>
          <w:szCs w:val="28"/>
          <w:highlight w:val="none"/>
          <w:lang w:val="en-US" w:eastAsia="zh-CN"/>
        </w:rPr>
        <w:t>人员</w:t>
      </w:r>
      <w:r>
        <w:rPr>
          <w:rFonts w:hint="eastAsia" w:ascii="仿宋" w:hAnsi="仿宋" w:eastAsia="仿宋" w:cs="仿宋"/>
          <w:color w:val="auto"/>
          <w:sz w:val="28"/>
          <w:szCs w:val="28"/>
          <w:highlight w:val="none"/>
        </w:rPr>
        <w:t>：陈文勇、陈冬玲、邱福明、王富春、</w:t>
      </w:r>
      <w:r>
        <w:rPr>
          <w:rFonts w:hint="eastAsia" w:ascii="仿宋" w:hAnsi="仿宋" w:eastAsia="仿宋" w:cs="仿宋"/>
          <w:color w:val="auto"/>
          <w:sz w:val="28"/>
          <w:szCs w:val="28"/>
          <w:highlight w:val="none"/>
          <w:lang w:val="en-US" w:eastAsia="zh-CN"/>
        </w:rPr>
        <w:t>刘方平、</w:t>
      </w:r>
      <w:r>
        <w:rPr>
          <w:rFonts w:hint="eastAsia" w:ascii="仿宋" w:hAnsi="仿宋" w:eastAsia="仿宋" w:cs="仿宋"/>
          <w:color w:val="auto"/>
          <w:sz w:val="28"/>
          <w:szCs w:val="28"/>
          <w:highlight w:val="none"/>
        </w:rPr>
        <w:t>李杨</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谭顺学、陈胜裕、陈超山、邓其贵、杨达飞、黎华</w:t>
      </w:r>
    </w:p>
    <w:p>
      <w:pPr>
        <w:adjustRightInd w:val="0"/>
        <w:snapToGrid w:val="0"/>
        <w:spacing w:line="360" w:lineRule="auto"/>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校</w:t>
      </w:r>
      <w:r>
        <w:rPr>
          <w:rFonts w:hint="eastAsia" w:ascii="仿宋" w:hAnsi="仿宋" w:eastAsia="仿宋" w:cs="仿宋"/>
          <w:color w:val="auto"/>
          <w:sz w:val="28"/>
          <w:szCs w:val="28"/>
          <w:highlight w:val="none"/>
          <w:lang w:val="en-US" w:eastAsia="zh-CN"/>
        </w:rPr>
        <w:t>外人员</w:t>
      </w:r>
      <w:r>
        <w:rPr>
          <w:rFonts w:hint="eastAsia" w:ascii="仿宋" w:hAnsi="仿宋" w:eastAsia="仿宋" w:cs="仿宋"/>
          <w:color w:val="auto"/>
          <w:sz w:val="28"/>
          <w:szCs w:val="28"/>
          <w:highlight w:val="none"/>
        </w:rPr>
        <w:t>：</w:t>
      </w:r>
    </w:p>
    <w:p>
      <w:pPr>
        <w:adjustRightInd w:val="0"/>
        <w:snapToGrid w:val="0"/>
        <w:spacing w:line="360" w:lineRule="auto"/>
        <w:ind w:firstLine="560" w:firstLineChars="200"/>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广西生态工程职业技术学院：</w:t>
      </w:r>
      <w:r>
        <w:rPr>
          <w:rFonts w:hint="eastAsia" w:ascii="仿宋" w:hAnsi="仿宋" w:eastAsia="仿宋" w:cs="仿宋"/>
          <w:color w:val="auto"/>
          <w:sz w:val="28"/>
          <w:szCs w:val="28"/>
          <w:highlight w:val="none"/>
        </w:rPr>
        <w:t>韦林</w:t>
      </w:r>
    </w:p>
    <w:p>
      <w:pPr>
        <w:adjustRightInd w:val="0"/>
        <w:snapToGrid w:val="0"/>
        <w:spacing w:line="360" w:lineRule="auto"/>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上汽通用五菱汽车股份有限公司：莫文将</w:t>
      </w:r>
    </w:p>
    <w:p>
      <w:pPr>
        <w:adjustRightInd w:val="0"/>
        <w:snapToGrid w:val="0"/>
        <w:spacing w:line="360" w:lineRule="auto"/>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广西汽车集团五菱工业公司：林峻锋</w:t>
      </w:r>
    </w:p>
    <w:p>
      <w:pPr>
        <w:adjustRightInd w:val="0"/>
        <w:snapToGrid w:val="0"/>
        <w:spacing w:line="360" w:lineRule="auto"/>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东风柳州汽车有限公司：彭青松 龚彪</w:t>
      </w:r>
    </w:p>
    <w:p>
      <w:pPr>
        <w:adjustRightInd w:val="0"/>
        <w:snapToGrid w:val="0"/>
        <w:spacing w:line="360" w:lineRule="auto"/>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广西中烟工业有限公司：陈雯婷</w:t>
      </w:r>
    </w:p>
    <w:p>
      <w:pPr>
        <w:adjustRightInd w:val="0"/>
        <w:snapToGrid w:val="0"/>
        <w:spacing w:line="360" w:lineRule="auto"/>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广西柳工机械股份有限公司：梁卫国</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（四）专业对应的职业/岗位分析</w:t>
      </w:r>
      <w:bookmarkEnd w:id="61"/>
    </w:p>
    <w:p>
      <w:pPr>
        <w:pStyle w:val="2"/>
      </w:pPr>
    </w:p>
    <w:tbl>
      <w:tblPr>
        <w:tblStyle w:val="15"/>
        <w:tblW w:w="8613"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57"/>
        <w:gridCol w:w="1186"/>
        <w:gridCol w:w="1148"/>
        <w:gridCol w:w="56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序号</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lang w:val="en-US" w:eastAsia="zh-CN"/>
              </w:rPr>
            </w:pPr>
            <w:r>
              <w:rPr>
                <w:rFonts w:hint="eastAsia" w:ascii="仿宋" w:hAnsi="仿宋" w:eastAsia="仿宋" w:cs="仿宋"/>
                <w:b/>
                <w:bCs/>
                <w:i w:val="0"/>
                <w:iCs w:val="0"/>
                <w:color w:val="000000"/>
                <w:sz w:val="21"/>
                <w:szCs w:val="21"/>
                <w:u w:val="none"/>
                <w:lang w:val="en-US" w:eastAsia="zh-CN"/>
              </w:rPr>
              <w:t>岗位</w:t>
            </w:r>
          </w:p>
        </w:tc>
        <w:tc>
          <w:tcPr>
            <w:tcW w:w="11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工作任务</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 xml:space="preserve">职业能力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11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设备工程技术人员</w:t>
            </w: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 设备操作</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1-1-1熟悉设备操作规范、设备原理原则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1-1-2会简单的设备维护、保养、点检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1-1-3能熟练掌握工艺说明书、图纸识别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1-1-4会看图纸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1-1-5熟悉设备性能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1-1-6遵循设备操作流程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1-1-7接收原理、结构和安全操作培训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1-1-8接受常规维护的内容及要求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1-1-9常见异常情况的处理方法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1-1-10设备指示、指令理解、了解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1-1-11设备功能了解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1-1-12设备功能操作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1-1-13了解设备原理、工控知识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1-1-14了解操作系统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1-1-15会编程、日常保养、点检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1-1-16图纸分析能力，熟悉设备操作按键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1-1-17产品检测能力、设备点检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1-1-18设备故障问题判断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1-1-19按标准化作业指导书完成操作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1-1-20根据掌握的技能操作设备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1-1-21机器人示教、操作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 程序处理</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1-2-1能熟练掌握主流PLC程序编程能力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1-2-2能对设备自带程序进行优化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1-2-3能根据工艺需要设置程序参数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1-2-4会编程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1-2-5会操作设备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1-2-6程序的基本培训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1-2-7程序的异常情况识别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1-2-8程序的版本备份和管理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1-2-9对程序工作要求了解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1-2-10对程序工作导入方法了解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1-2-11对程序功能确认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1-2-12了解操作系统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1-2-13学习编程语言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1-2-14程序指令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1-2-15增加程序、减少程序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1-2-16编写设备PLC程序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1-2-17编写操作程序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1-2-18程序问题修改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 产品检验</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1-3-1能熟练使用产品检验工器具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1-3-2能掌握产品检验规范、流程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1-3-3能编制产品检验工艺卡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1-3-4了解产品质量概述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1-3-5产品加工过程中检验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1-3-6不合格品原因的判断与解决方案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1-3-7知道产品质量检查标准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1-3-8接受量具的使用培训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1-3-9会识别不合格品数据并找到原因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1-3-10了解产品质量要求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1-3-11了解产品外观要求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1-3-12了解和确认产品使用功能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1-3-13测量、计量工具运用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1-3-14了解产品属性功能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1-3-15识图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1-3-16检测设备使用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1-3-17原材料外观缺陷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1-3-18产品外观检查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1-3-19产品尺寸检测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1-3-20产品综合性能检测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11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智能制造系统集成调试岗位</w:t>
            </w: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2-1 维护维修</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2-1-1会识别维修配件规格、型号、类型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2-1-2会熟练使用各种维修工具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2-1-3熟知设备原理、结构，迅速判断设备故障点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2-1-4了解设备的各项功能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2-1-5设备能量锁定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2-1-6维修操作流程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2-1-7接受设备的维修技术要求培训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2-1-8正确使用工具、识别备件是否正确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2-1-9会分析和判断问题部位及处理方法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2-1-10对设备维修部件功能了解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2-1-11对设备故障原因分析了解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2-1-12更换和维修部件调试能力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2-1-13了解设备性能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2-1-14具备电气、机械、液压原理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2-1-15较强的动手能力、判断能力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2-1-16吊具起重知识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2-1-17设备构造原理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2-1-18维修工具使用及自制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2-1-19故障判断、配件自制、测量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2-1-20工装夹具维修、调试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2-1-21设备问题、故障排除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2-1-22设备大修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2"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 维护设备</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2-2-1会编制设备点检、维护作业图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2-2-2能编制各类设备管理制度，能科学合理维护设备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2-2-3能合理规划设备维护时间、工作量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2-2-4设备使用说明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2-2-5巡检、点检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2-2-6周期保养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2-2-7接受设备的维护技术要求培训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2-2-8正确使用工具和备件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2-2-9会验证和检查设备是否正常、包含各参数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2-2-10对设备功能使用要求了解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2-2-11对设备定期维护要点了解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2-2-12能定期、定时更换检测部件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2-2-13了解设备一般性能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2-2-14简单的维护、保养能力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2-2-15了解巡检内容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2-2-16设备构造原理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2-2-17故障判断、分析能力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2-2-18配件代用分析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2-2-19更换机油、易损件等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2-2-20定期检查设备关键位置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 编写管理制度</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2-3-1能根据企业需要编写管理制度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2-3-2能熟练掌握办公软件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2-3-3能编写项目、工作任务书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2-3-4管理制度文件编写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2-3-5巡检、计划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2-3-6易损件预算、采购、计划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2-3-7熟知上级的相关法律法规和制度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2-3-8熟知设备的技术要点和操作规范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2-3-9会编写软件、PPT、表格能力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2-3-10对设备结构部件、型号、参数了解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2-3-11对设备维修工艺了解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2-3-12熟悉设备性能、构造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2-3-13熟悉设备使用功能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2-3-14设备故障统计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2-3-15PPT写作能力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2-3-16维修能力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2-3-17编写设备点检表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2-3-18编写设备巡查记录表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2-3-19编写设备备品、备件清单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w:t>
            </w:r>
          </w:p>
        </w:tc>
        <w:tc>
          <w:tcPr>
            <w:tcW w:w="11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机电设备研发岗位</w:t>
            </w: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 PLC编程</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3-1-1能掌握主流PLC编程运用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3-1-2能熟练运用PLC编程各项功能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3-1-3能根据任务书编制PLC程序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3-1-4会编程语言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3-1-5电气控制理论的学习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3-1-6接受PLC编程的培训，知道编程标准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3-1-7会试机验证机械动作的正确性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3-1-8会查找程序漏洞和异常情况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3-1-9掌握各种PLC软件使用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3-1-10会PLC程序编写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3-1-11对PLC编写的设备功能要求了解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3-1-12了解PLC的编程语言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3-1-13熟悉使用编程语言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3-1-14设备构造原理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3-1-15产品结构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3-1-16电器知识、加工工艺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3-1-17设计设备控制PLC程序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3-1-18完成多机PLC程序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3-1-19完成整线PLC程序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 电气设计</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3-2-1会编制电气原理图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3-2-2掌握各类电器元件的功能和性能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3-2-3能根据工作任务书设计、选配电器系统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3-2-4各电器元件的了解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3-2-5电气图纸的设计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3-2-6电器元件的安装及要求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3-2-7知道相关设计标准和要求、市场情况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3-2-8知道工艺要求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3-2-9功能设计完善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3-2-10对设备电器件型号、参数了解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3-2-11对设备台套产线电气原理了解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3-2-12对集成后产线设备的调试能力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3-2-13了解动作原理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3-2-14电气原理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3-2-15电器知识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3-2-16产品结构、加工工艺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3-2-17电器布局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3-2-18夹具电器设计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3-2-19设备电器设计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 设计设备</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3-3-1能熟练掌握二维、三维绘图软件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3-3-2能掌握机械、电气基础知识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3-3-3能设计、整合设备系统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3-3-4设备的性能了解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3-3-5机械设计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3-3-6电气设计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3-3-7知道相关设计标准和要求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3-3-8知道工艺要求和动作要求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3-3-9方便安装、调试和更换备件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3-3-10对设备具备功能了解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3-3-113D、2D建图能力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3-3-12设备行业、国标参数法规了解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3-3-13了解设备功能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3-3-14熟悉机械、电气原理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3-3-15机械、电器知识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3-3-16材料、液压系统知识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3-3-17气动、电动知识，热处理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3-3-18设计普通小型单台设备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3-3-19设计大型自动化设备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3-3-20设计整线自动化设备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 设计工装夹具</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3-4-1能熟练掌握绘图软件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3-4-2熟练掌握机械设计结构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3-4-3掌握材料选用，加工处理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3-4-4气动元件的了解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3-4-5材料的选型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3-4-6三维软件的熟悉使用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3-4-7知道设计标准、标准件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3-4-8安全设计和防护，人机工程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3-4-9模块化，便于产品迭代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3-4-10对设计工装图纸要求了解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3-4-11对工装使用标准要求了解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3-4-12对工装的成本要求了解，质量了解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3-4-13了解工装家具设计原理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3-4-14了解产品功能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3-4-15产品结构，设备规格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3-4-16电、气、液知识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3-4-17材料、热处理知识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3-4-18设计焊接夹具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3-4-19冲压模具设计、塑料模具设计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3-4-20设计机加工夹具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 设计产品</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3-5-1熟练掌握设计流程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3-5-2熟练掌握设计软件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3-5-3能编制产品设计说明书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3-5-4制图软件的使用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3-5-5机械电气设计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3-5-6电气设计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3-5-7外观美学计划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3-5-8人机工程设备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3-5-9相关标准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3-5-10对产品特性了解特征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3-5-11对产品造型要与国标参数法规了解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3-5-12对产品使用要求了解，3D、2D建模能力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3-5-13了解达到的目的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3-5-14使用效果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3-5-15产品耐用性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3-5-16产品结构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3-5-17电器、液压气动、材料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3-5-18焊接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3-5-19设计汽车零件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3-5-20设计整套部件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3-5-21设计大型成套产品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3-5-23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11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售后服务岗位</w:t>
            </w:r>
          </w:p>
        </w:tc>
        <w:tc>
          <w:tcPr>
            <w:tcW w:w="11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4-1 售后服务</w:t>
            </w: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4-1-1能熟知产品基础知识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4-1-2学会沟通技巧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4-1-3学会制定任务书，工作计划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4-1-4设备、产品的各项性能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4-1-5营销目标与计划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4-1-6合同的签订与法律知识了解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4-1-7功能、性能展示，PPT,短视频制作等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4-1-8了解客户需求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4-1-9售后服务管理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4-1-10对产品设备功能特性了解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4-1-11对产品营销客户了解能力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4-1-12沟通能力，产品功能分析能力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4-1-13竞品对标、拆解、心理学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4-1-14熟悉产品、功能、构造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4-1-15了解用户需求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4-1-16产品熟悉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4-1-17 PPT、写作能力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4-1-18沟通能力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11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i w:val="0"/>
                <w:iCs w:val="0"/>
                <w:color w:val="000000"/>
                <w:sz w:val="21"/>
                <w:szCs w:val="21"/>
                <w:u w:val="none"/>
              </w:rPr>
            </w:pPr>
          </w:p>
        </w:tc>
        <w:tc>
          <w:tcPr>
            <w:tcW w:w="56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4-1-19了解产品性能</w:t>
            </w:r>
          </w:p>
        </w:tc>
      </w:tr>
    </w:tbl>
    <w:p>
      <w:pPr>
        <w:pStyle w:val="2"/>
        <w:jc w:val="center"/>
        <w:rPr>
          <w:rFonts w:hint="eastAsia" w:ascii="黑体" w:hAnsi="黑体" w:eastAsia="黑体" w:cs="黑体"/>
          <w:sz w:val="36"/>
          <w:szCs w:val="36"/>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B76D724-D0F9-47AC-B496-9980BA20AA2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粗仿宋简">
    <w:panose1 w:val="02010600000101010101"/>
    <w:charset w:val="86"/>
    <w:family w:val="auto"/>
    <w:pitch w:val="default"/>
    <w:sig w:usb0="00000001" w:usb1="080E0800" w:usb2="00000002" w:usb3="00000000" w:csb0="00040000" w:csb1="00000000"/>
  </w:font>
  <w:font w:name="FZSSK--GBK1-0">
    <w:altName w:val="Times New Roman"/>
    <w:panose1 w:val="00000000000000000000"/>
    <w:charset w:val="00"/>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2" w:fontKey="{3F8F7975-D28A-46A9-9315-F803AB9D612E}"/>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embedRegular r:id="rId3" w:fontKey="{291597FC-3987-4CD5-B2BE-6EA1588EBA60}"/>
  </w:font>
  <w:font w:name="方正小标宋简体">
    <w:panose1 w:val="03000509000000000000"/>
    <w:charset w:val="86"/>
    <w:family w:val="script"/>
    <w:pitch w:val="default"/>
    <w:sig w:usb0="00000001" w:usb1="080E0000" w:usb2="00000000" w:usb3="00000000" w:csb0="00040000" w:csb1="00000000"/>
    <w:embedRegular r:id="rId4" w:fontKey="{E9D8F821-F9D8-4E99-BAC9-476769B94494}"/>
  </w:font>
  <w:font w:name="华文宋体">
    <w:panose1 w:val="02010600040101010101"/>
    <w:charset w:val="86"/>
    <w:family w:val="auto"/>
    <w:pitch w:val="default"/>
    <w:sig w:usb0="00000287" w:usb1="080F0000" w:usb2="00000000" w:usb3="00000000" w:csb0="0004009F" w:csb1="DFD70000"/>
    <w:embedRegular r:id="rId5" w:fontKey="{1B2D483E-93EF-4CE3-A6A7-66161E2E09E4}"/>
  </w:font>
  <w:font w:name="Helvetica">
    <w:altName w:val="Arial"/>
    <w:panose1 w:val="00000000000000000000"/>
    <w:charset w:val="00"/>
    <w:family w:val="auto"/>
    <w:pitch w:val="default"/>
    <w:sig w:usb0="00000000" w:usb1="00000000" w:usb2="00000000" w:usb3="00000000" w:csb0="00000000" w:csb1="00000000"/>
    <w:embedRegular r:id="rId6" w:fontKey="{D51C8FF5-E5F7-4B4F-903E-6EE1DD04713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19</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4D803138"/>
    <w:rsid w:val="00001D40"/>
    <w:rsid w:val="00002CA0"/>
    <w:rsid w:val="000100AC"/>
    <w:rsid w:val="00010BE3"/>
    <w:rsid w:val="00036678"/>
    <w:rsid w:val="00042E47"/>
    <w:rsid w:val="0004551C"/>
    <w:rsid w:val="00053C71"/>
    <w:rsid w:val="000579BA"/>
    <w:rsid w:val="0006060B"/>
    <w:rsid w:val="00063A41"/>
    <w:rsid w:val="000A3321"/>
    <w:rsid w:val="000B3A28"/>
    <w:rsid w:val="000B7E17"/>
    <w:rsid w:val="000C026C"/>
    <w:rsid w:val="000C3568"/>
    <w:rsid w:val="000D0280"/>
    <w:rsid w:val="000D0C9B"/>
    <w:rsid w:val="000D5C55"/>
    <w:rsid w:val="000E7042"/>
    <w:rsid w:val="00101AE9"/>
    <w:rsid w:val="00101CF8"/>
    <w:rsid w:val="001046E4"/>
    <w:rsid w:val="00104857"/>
    <w:rsid w:val="00106421"/>
    <w:rsid w:val="00132A1A"/>
    <w:rsid w:val="00135135"/>
    <w:rsid w:val="00135875"/>
    <w:rsid w:val="001412F2"/>
    <w:rsid w:val="00151B8B"/>
    <w:rsid w:val="00157A3E"/>
    <w:rsid w:val="00162AF6"/>
    <w:rsid w:val="00170DCA"/>
    <w:rsid w:val="00170F78"/>
    <w:rsid w:val="00172E8C"/>
    <w:rsid w:val="00176770"/>
    <w:rsid w:val="0018274C"/>
    <w:rsid w:val="00185A4F"/>
    <w:rsid w:val="00197369"/>
    <w:rsid w:val="001A1FAB"/>
    <w:rsid w:val="001A576F"/>
    <w:rsid w:val="001A5CF3"/>
    <w:rsid w:val="001B0140"/>
    <w:rsid w:val="001B48AF"/>
    <w:rsid w:val="001E3CED"/>
    <w:rsid w:val="001E50E0"/>
    <w:rsid w:val="001F13C1"/>
    <w:rsid w:val="001F2754"/>
    <w:rsid w:val="002211B8"/>
    <w:rsid w:val="00225828"/>
    <w:rsid w:val="00225829"/>
    <w:rsid w:val="00234F37"/>
    <w:rsid w:val="00240B42"/>
    <w:rsid w:val="002546C1"/>
    <w:rsid w:val="00276387"/>
    <w:rsid w:val="00277067"/>
    <w:rsid w:val="002961C3"/>
    <w:rsid w:val="002A572D"/>
    <w:rsid w:val="002A66EA"/>
    <w:rsid w:val="002B532C"/>
    <w:rsid w:val="002C3366"/>
    <w:rsid w:val="002C4449"/>
    <w:rsid w:val="002C6283"/>
    <w:rsid w:val="002C6C02"/>
    <w:rsid w:val="002D41BF"/>
    <w:rsid w:val="002D45B0"/>
    <w:rsid w:val="002E01C1"/>
    <w:rsid w:val="002E7F46"/>
    <w:rsid w:val="00311B63"/>
    <w:rsid w:val="003217F7"/>
    <w:rsid w:val="00333A2A"/>
    <w:rsid w:val="0034662D"/>
    <w:rsid w:val="0035319C"/>
    <w:rsid w:val="0035561C"/>
    <w:rsid w:val="00356317"/>
    <w:rsid w:val="0036256A"/>
    <w:rsid w:val="00371B2E"/>
    <w:rsid w:val="00374C85"/>
    <w:rsid w:val="0038576D"/>
    <w:rsid w:val="0039553A"/>
    <w:rsid w:val="00396312"/>
    <w:rsid w:val="003A3D0E"/>
    <w:rsid w:val="003B36D4"/>
    <w:rsid w:val="003C6A75"/>
    <w:rsid w:val="003F1084"/>
    <w:rsid w:val="003F3528"/>
    <w:rsid w:val="003F51DC"/>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E2450"/>
    <w:rsid w:val="004F42C2"/>
    <w:rsid w:val="004F7091"/>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4A24"/>
    <w:rsid w:val="005F29AE"/>
    <w:rsid w:val="00615AA6"/>
    <w:rsid w:val="00623027"/>
    <w:rsid w:val="00626E37"/>
    <w:rsid w:val="006379DB"/>
    <w:rsid w:val="006424E0"/>
    <w:rsid w:val="00644FF9"/>
    <w:rsid w:val="006564CD"/>
    <w:rsid w:val="006567DB"/>
    <w:rsid w:val="00670F0E"/>
    <w:rsid w:val="00671208"/>
    <w:rsid w:val="00675486"/>
    <w:rsid w:val="006758ED"/>
    <w:rsid w:val="0067611B"/>
    <w:rsid w:val="0067645F"/>
    <w:rsid w:val="00680735"/>
    <w:rsid w:val="0068167F"/>
    <w:rsid w:val="006A226F"/>
    <w:rsid w:val="006A2D30"/>
    <w:rsid w:val="006A4E03"/>
    <w:rsid w:val="006A4EB6"/>
    <w:rsid w:val="006C0EF9"/>
    <w:rsid w:val="006C1A6C"/>
    <w:rsid w:val="006C2210"/>
    <w:rsid w:val="006C53C1"/>
    <w:rsid w:val="006D2F49"/>
    <w:rsid w:val="006D4398"/>
    <w:rsid w:val="006F2EB1"/>
    <w:rsid w:val="00701F27"/>
    <w:rsid w:val="0070644B"/>
    <w:rsid w:val="0071389C"/>
    <w:rsid w:val="00713ED7"/>
    <w:rsid w:val="00716A1F"/>
    <w:rsid w:val="00733444"/>
    <w:rsid w:val="0073727D"/>
    <w:rsid w:val="00741DAE"/>
    <w:rsid w:val="00741F63"/>
    <w:rsid w:val="00743E9E"/>
    <w:rsid w:val="00745986"/>
    <w:rsid w:val="00750DA7"/>
    <w:rsid w:val="007714E4"/>
    <w:rsid w:val="00780BDD"/>
    <w:rsid w:val="0078457A"/>
    <w:rsid w:val="00795BDF"/>
    <w:rsid w:val="007A1713"/>
    <w:rsid w:val="007A173A"/>
    <w:rsid w:val="007A1F80"/>
    <w:rsid w:val="007B5420"/>
    <w:rsid w:val="007B568B"/>
    <w:rsid w:val="007C14D4"/>
    <w:rsid w:val="007C3FE0"/>
    <w:rsid w:val="007D1782"/>
    <w:rsid w:val="007D2437"/>
    <w:rsid w:val="007E4CEF"/>
    <w:rsid w:val="007E730E"/>
    <w:rsid w:val="007F1427"/>
    <w:rsid w:val="007F3CB7"/>
    <w:rsid w:val="007F78FF"/>
    <w:rsid w:val="00801AAE"/>
    <w:rsid w:val="0080636C"/>
    <w:rsid w:val="00807A56"/>
    <w:rsid w:val="00810822"/>
    <w:rsid w:val="008113B3"/>
    <w:rsid w:val="00811951"/>
    <w:rsid w:val="00816543"/>
    <w:rsid w:val="00820376"/>
    <w:rsid w:val="00820FA0"/>
    <w:rsid w:val="00822779"/>
    <w:rsid w:val="008255EB"/>
    <w:rsid w:val="00827E17"/>
    <w:rsid w:val="00833C09"/>
    <w:rsid w:val="0085432A"/>
    <w:rsid w:val="00855010"/>
    <w:rsid w:val="00875BC5"/>
    <w:rsid w:val="00876707"/>
    <w:rsid w:val="00880537"/>
    <w:rsid w:val="00881905"/>
    <w:rsid w:val="00893E62"/>
    <w:rsid w:val="00894F75"/>
    <w:rsid w:val="0089569F"/>
    <w:rsid w:val="008A5614"/>
    <w:rsid w:val="008B1F68"/>
    <w:rsid w:val="008B287E"/>
    <w:rsid w:val="008C49CC"/>
    <w:rsid w:val="008D1F35"/>
    <w:rsid w:val="008F03D7"/>
    <w:rsid w:val="008F187E"/>
    <w:rsid w:val="008F337E"/>
    <w:rsid w:val="008F6A88"/>
    <w:rsid w:val="009100FC"/>
    <w:rsid w:val="009164BD"/>
    <w:rsid w:val="00933B5B"/>
    <w:rsid w:val="0093599F"/>
    <w:rsid w:val="009416B8"/>
    <w:rsid w:val="009554B2"/>
    <w:rsid w:val="00957A71"/>
    <w:rsid w:val="00960C22"/>
    <w:rsid w:val="009643F6"/>
    <w:rsid w:val="0096469C"/>
    <w:rsid w:val="009664D5"/>
    <w:rsid w:val="00975D98"/>
    <w:rsid w:val="0098522D"/>
    <w:rsid w:val="009852DE"/>
    <w:rsid w:val="0098747C"/>
    <w:rsid w:val="00997337"/>
    <w:rsid w:val="009B3C95"/>
    <w:rsid w:val="009B584F"/>
    <w:rsid w:val="009C07DB"/>
    <w:rsid w:val="009C49F0"/>
    <w:rsid w:val="009C697C"/>
    <w:rsid w:val="009E6B90"/>
    <w:rsid w:val="009F0347"/>
    <w:rsid w:val="009F7C33"/>
    <w:rsid w:val="00A0294A"/>
    <w:rsid w:val="00A07D53"/>
    <w:rsid w:val="00A106DC"/>
    <w:rsid w:val="00A11133"/>
    <w:rsid w:val="00A177E5"/>
    <w:rsid w:val="00A21A1F"/>
    <w:rsid w:val="00A30AD5"/>
    <w:rsid w:val="00A33428"/>
    <w:rsid w:val="00A33768"/>
    <w:rsid w:val="00A451A5"/>
    <w:rsid w:val="00A46B30"/>
    <w:rsid w:val="00A61B6E"/>
    <w:rsid w:val="00A62F84"/>
    <w:rsid w:val="00A73C39"/>
    <w:rsid w:val="00A778C7"/>
    <w:rsid w:val="00A8016F"/>
    <w:rsid w:val="00A83AD3"/>
    <w:rsid w:val="00A869BA"/>
    <w:rsid w:val="00A96719"/>
    <w:rsid w:val="00AA3EA7"/>
    <w:rsid w:val="00AC5F2A"/>
    <w:rsid w:val="00AD6482"/>
    <w:rsid w:val="00AE107E"/>
    <w:rsid w:val="00AE6A79"/>
    <w:rsid w:val="00B0005C"/>
    <w:rsid w:val="00B2229D"/>
    <w:rsid w:val="00B23082"/>
    <w:rsid w:val="00B2466C"/>
    <w:rsid w:val="00B338E8"/>
    <w:rsid w:val="00B360BA"/>
    <w:rsid w:val="00B375F1"/>
    <w:rsid w:val="00B42719"/>
    <w:rsid w:val="00B51AD6"/>
    <w:rsid w:val="00B533F4"/>
    <w:rsid w:val="00B53FF6"/>
    <w:rsid w:val="00B5432D"/>
    <w:rsid w:val="00B718B7"/>
    <w:rsid w:val="00B86FE1"/>
    <w:rsid w:val="00B96E18"/>
    <w:rsid w:val="00BA0605"/>
    <w:rsid w:val="00BD01B3"/>
    <w:rsid w:val="00BD601C"/>
    <w:rsid w:val="00BD6199"/>
    <w:rsid w:val="00BE312E"/>
    <w:rsid w:val="00BE66BA"/>
    <w:rsid w:val="00BF4765"/>
    <w:rsid w:val="00C1251E"/>
    <w:rsid w:val="00C173F6"/>
    <w:rsid w:val="00C27E11"/>
    <w:rsid w:val="00C3149B"/>
    <w:rsid w:val="00C32AC6"/>
    <w:rsid w:val="00C35ECD"/>
    <w:rsid w:val="00C45D92"/>
    <w:rsid w:val="00C55EA6"/>
    <w:rsid w:val="00C600D0"/>
    <w:rsid w:val="00C62CAD"/>
    <w:rsid w:val="00C63903"/>
    <w:rsid w:val="00C927E5"/>
    <w:rsid w:val="00C965EA"/>
    <w:rsid w:val="00C97449"/>
    <w:rsid w:val="00CA6FA5"/>
    <w:rsid w:val="00CB017F"/>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57077"/>
    <w:rsid w:val="00D8110A"/>
    <w:rsid w:val="00D8357D"/>
    <w:rsid w:val="00D9296F"/>
    <w:rsid w:val="00D97A67"/>
    <w:rsid w:val="00DA5C53"/>
    <w:rsid w:val="00DA7F0B"/>
    <w:rsid w:val="00DB17C8"/>
    <w:rsid w:val="00DE2DB1"/>
    <w:rsid w:val="00DE5EBA"/>
    <w:rsid w:val="00E02A8F"/>
    <w:rsid w:val="00E0384F"/>
    <w:rsid w:val="00E30EED"/>
    <w:rsid w:val="00E32C0E"/>
    <w:rsid w:val="00E42FFD"/>
    <w:rsid w:val="00E62664"/>
    <w:rsid w:val="00E70393"/>
    <w:rsid w:val="00E70DA7"/>
    <w:rsid w:val="00E74606"/>
    <w:rsid w:val="00E7479E"/>
    <w:rsid w:val="00E81BAA"/>
    <w:rsid w:val="00E85876"/>
    <w:rsid w:val="00E86D0E"/>
    <w:rsid w:val="00EB1818"/>
    <w:rsid w:val="00EB3F5B"/>
    <w:rsid w:val="00EB6EFD"/>
    <w:rsid w:val="00EC1342"/>
    <w:rsid w:val="00EC2374"/>
    <w:rsid w:val="00ED7953"/>
    <w:rsid w:val="00EE0622"/>
    <w:rsid w:val="00EE08F9"/>
    <w:rsid w:val="00EE48E9"/>
    <w:rsid w:val="00F00B12"/>
    <w:rsid w:val="00F119D8"/>
    <w:rsid w:val="00F219C8"/>
    <w:rsid w:val="00F40722"/>
    <w:rsid w:val="00F40CA2"/>
    <w:rsid w:val="00F6244E"/>
    <w:rsid w:val="00F66A4E"/>
    <w:rsid w:val="00F71EE1"/>
    <w:rsid w:val="00F767B7"/>
    <w:rsid w:val="00F77435"/>
    <w:rsid w:val="00F91A16"/>
    <w:rsid w:val="00FA2E73"/>
    <w:rsid w:val="00FB17F4"/>
    <w:rsid w:val="00FB1EA9"/>
    <w:rsid w:val="00FB7096"/>
    <w:rsid w:val="00FC091E"/>
    <w:rsid w:val="00FC6B0D"/>
    <w:rsid w:val="00FD7804"/>
    <w:rsid w:val="01097D2F"/>
    <w:rsid w:val="01161381"/>
    <w:rsid w:val="01257317"/>
    <w:rsid w:val="0132783D"/>
    <w:rsid w:val="0155487B"/>
    <w:rsid w:val="0160084E"/>
    <w:rsid w:val="017817AA"/>
    <w:rsid w:val="017F6FD8"/>
    <w:rsid w:val="01813A41"/>
    <w:rsid w:val="01825DFC"/>
    <w:rsid w:val="01A7022B"/>
    <w:rsid w:val="01AA1679"/>
    <w:rsid w:val="01B668C3"/>
    <w:rsid w:val="01BD0DCF"/>
    <w:rsid w:val="01C50469"/>
    <w:rsid w:val="01EF2547"/>
    <w:rsid w:val="0200614A"/>
    <w:rsid w:val="02057C74"/>
    <w:rsid w:val="02172252"/>
    <w:rsid w:val="021A3862"/>
    <w:rsid w:val="0227136C"/>
    <w:rsid w:val="022B2C0A"/>
    <w:rsid w:val="023B3CED"/>
    <w:rsid w:val="023F66B6"/>
    <w:rsid w:val="02493090"/>
    <w:rsid w:val="02531D49"/>
    <w:rsid w:val="025334C0"/>
    <w:rsid w:val="02612B5C"/>
    <w:rsid w:val="026E5A12"/>
    <w:rsid w:val="026F32DD"/>
    <w:rsid w:val="0282441D"/>
    <w:rsid w:val="0287374E"/>
    <w:rsid w:val="02A06262"/>
    <w:rsid w:val="02B14B04"/>
    <w:rsid w:val="02CF3242"/>
    <w:rsid w:val="02D36DFE"/>
    <w:rsid w:val="02DA19A6"/>
    <w:rsid w:val="02F50C20"/>
    <w:rsid w:val="03155CE0"/>
    <w:rsid w:val="031E451D"/>
    <w:rsid w:val="034C7B79"/>
    <w:rsid w:val="034E4899"/>
    <w:rsid w:val="036C7AE7"/>
    <w:rsid w:val="03836A76"/>
    <w:rsid w:val="03855767"/>
    <w:rsid w:val="03914CEF"/>
    <w:rsid w:val="03990047"/>
    <w:rsid w:val="039B6FA2"/>
    <w:rsid w:val="03AF2D1D"/>
    <w:rsid w:val="03B804CE"/>
    <w:rsid w:val="03C70711"/>
    <w:rsid w:val="03E47CA3"/>
    <w:rsid w:val="04150212"/>
    <w:rsid w:val="04365EC8"/>
    <w:rsid w:val="044B5C73"/>
    <w:rsid w:val="044C0C16"/>
    <w:rsid w:val="045D14CA"/>
    <w:rsid w:val="049A35E3"/>
    <w:rsid w:val="04CD61FB"/>
    <w:rsid w:val="04E36052"/>
    <w:rsid w:val="04E74BBB"/>
    <w:rsid w:val="05045994"/>
    <w:rsid w:val="05107E95"/>
    <w:rsid w:val="05377B18"/>
    <w:rsid w:val="05507126"/>
    <w:rsid w:val="05544226"/>
    <w:rsid w:val="055E32F7"/>
    <w:rsid w:val="05616CB1"/>
    <w:rsid w:val="05663875"/>
    <w:rsid w:val="056F72B2"/>
    <w:rsid w:val="05760640"/>
    <w:rsid w:val="058F4B18"/>
    <w:rsid w:val="0593729F"/>
    <w:rsid w:val="05A066EC"/>
    <w:rsid w:val="05B9052D"/>
    <w:rsid w:val="05BC001D"/>
    <w:rsid w:val="05C00EF6"/>
    <w:rsid w:val="05C043A1"/>
    <w:rsid w:val="05C650AD"/>
    <w:rsid w:val="05D0482D"/>
    <w:rsid w:val="05D709B3"/>
    <w:rsid w:val="05D919C1"/>
    <w:rsid w:val="05D944F0"/>
    <w:rsid w:val="05E71585"/>
    <w:rsid w:val="06086A7D"/>
    <w:rsid w:val="06090251"/>
    <w:rsid w:val="060C4B01"/>
    <w:rsid w:val="0624009C"/>
    <w:rsid w:val="06257970"/>
    <w:rsid w:val="062A4F48"/>
    <w:rsid w:val="062F4C1A"/>
    <w:rsid w:val="063130C9"/>
    <w:rsid w:val="063227D0"/>
    <w:rsid w:val="06375C91"/>
    <w:rsid w:val="064A5629"/>
    <w:rsid w:val="06585F98"/>
    <w:rsid w:val="066F3121"/>
    <w:rsid w:val="06732DD2"/>
    <w:rsid w:val="067E4035"/>
    <w:rsid w:val="06817534"/>
    <w:rsid w:val="06A1305A"/>
    <w:rsid w:val="06A82EB5"/>
    <w:rsid w:val="06BD2BEF"/>
    <w:rsid w:val="06C54CB0"/>
    <w:rsid w:val="06DC0977"/>
    <w:rsid w:val="06DC65A4"/>
    <w:rsid w:val="07094BBF"/>
    <w:rsid w:val="0728596A"/>
    <w:rsid w:val="07416A2C"/>
    <w:rsid w:val="07465DF0"/>
    <w:rsid w:val="075C73C2"/>
    <w:rsid w:val="076369A2"/>
    <w:rsid w:val="077401F5"/>
    <w:rsid w:val="07754928"/>
    <w:rsid w:val="078739FC"/>
    <w:rsid w:val="078F59E9"/>
    <w:rsid w:val="07AD40C1"/>
    <w:rsid w:val="07B14BBB"/>
    <w:rsid w:val="07BF65A4"/>
    <w:rsid w:val="07CD358E"/>
    <w:rsid w:val="07D57174"/>
    <w:rsid w:val="07D576C9"/>
    <w:rsid w:val="07E957CF"/>
    <w:rsid w:val="07EE7232"/>
    <w:rsid w:val="08053EFD"/>
    <w:rsid w:val="08147637"/>
    <w:rsid w:val="081619E0"/>
    <w:rsid w:val="081C1E54"/>
    <w:rsid w:val="0826583C"/>
    <w:rsid w:val="083B791F"/>
    <w:rsid w:val="084E1401"/>
    <w:rsid w:val="08536B2A"/>
    <w:rsid w:val="085D5AE7"/>
    <w:rsid w:val="086F75C9"/>
    <w:rsid w:val="08907C6B"/>
    <w:rsid w:val="089B1EC4"/>
    <w:rsid w:val="08A632D3"/>
    <w:rsid w:val="08AA43DA"/>
    <w:rsid w:val="08AB098B"/>
    <w:rsid w:val="08AF4AEC"/>
    <w:rsid w:val="08C45EB0"/>
    <w:rsid w:val="08CB0CA3"/>
    <w:rsid w:val="08DA0EE6"/>
    <w:rsid w:val="08F17FDE"/>
    <w:rsid w:val="08F95139"/>
    <w:rsid w:val="08FA6E92"/>
    <w:rsid w:val="09047D11"/>
    <w:rsid w:val="09093579"/>
    <w:rsid w:val="090A5711"/>
    <w:rsid w:val="090B1428"/>
    <w:rsid w:val="091D7025"/>
    <w:rsid w:val="0946657C"/>
    <w:rsid w:val="095073FA"/>
    <w:rsid w:val="095660AE"/>
    <w:rsid w:val="095A7C8D"/>
    <w:rsid w:val="096D3578"/>
    <w:rsid w:val="09724630"/>
    <w:rsid w:val="097E2250"/>
    <w:rsid w:val="09986A0B"/>
    <w:rsid w:val="09A662D7"/>
    <w:rsid w:val="09B71227"/>
    <w:rsid w:val="09CA2FA6"/>
    <w:rsid w:val="09CB12D0"/>
    <w:rsid w:val="09DB69E1"/>
    <w:rsid w:val="0A042B2D"/>
    <w:rsid w:val="0A081A83"/>
    <w:rsid w:val="0A27069E"/>
    <w:rsid w:val="0A61614B"/>
    <w:rsid w:val="0A786C09"/>
    <w:rsid w:val="0A863551"/>
    <w:rsid w:val="0A876C58"/>
    <w:rsid w:val="0A902786"/>
    <w:rsid w:val="0A942BBA"/>
    <w:rsid w:val="0AAB0D8C"/>
    <w:rsid w:val="0ABA0FCF"/>
    <w:rsid w:val="0AC01E9A"/>
    <w:rsid w:val="0ACB616E"/>
    <w:rsid w:val="0ACE4A7B"/>
    <w:rsid w:val="0ACF355F"/>
    <w:rsid w:val="0ADE60E3"/>
    <w:rsid w:val="0B093D05"/>
    <w:rsid w:val="0B0941CB"/>
    <w:rsid w:val="0B3D6E88"/>
    <w:rsid w:val="0B416FFB"/>
    <w:rsid w:val="0B5C5BDE"/>
    <w:rsid w:val="0B770BE8"/>
    <w:rsid w:val="0B9D6BF9"/>
    <w:rsid w:val="0BD266EC"/>
    <w:rsid w:val="0BD87233"/>
    <w:rsid w:val="0BE36304"/>
    <w:rsid w:val="0BE6560D"/>
    <w:rsid w:val="0BF12B54"/>
    <w:rsid w:val="0BFD07DA"/>
    <w:rsid w:val="0C0D3381"/>
    <w:rsid w:val="0C2030B4"/>
    <w:rsid w:val="0C28511E"/>
    <w:rsid w:val="0C2C7CAB"/>
    <w:rsid w:val="0C3A6864"/>
    <w:rsid w:val="0C451138"/>
    <w:rsid w:val="0C590374"/>
    <w:rsid w:val="0C5A72D4"/>
    <w:rsid w:val="0C915D60"/>
    <w:rsid w:val="0CA12639"/>
    <w:rsid w:val="0CA535B9"/>
    <w:rsid w:val="0CBD7823"/>
    <w:rsid w:val="0CCC09CB"/>
    <w:rsid w:val="0CDC24AD"/>
    <w:rsid w:val="0CE57E5A"/>
    <w:rsid w:val="0CE67012"/>
    <w:rsid w:val="0CF1450C"/>
    <w:rsid w:val="0CF4019B"/>
    <w:rsid w:val="0D0222EC"/>
    <w:rsid w:val="0D122A3E"/>
    <w:rsid w:val="0D162E8F"/>
    <w:rsid w:val="0D31309F"/>
    <w:rsid w:val="0D3355BC"/>
    <w:rsid w:val="0D3A348B"/>
    <w:rsid w:val="0D40647F"/>
    <w:rsid w:val="0D441189"/>
    <w:rsid w:val="0D5374B9"/>
    <w:rsid w:val="0D553231"/>
    <w:rsid w:val="0D892EDB"/>
    <w:rsid w:val="0D935B07"/>
    <w:rsid w:val="0D960A23"/>
    <w:rsid w:val="0D976AF5"/>
    <w:rsid w:val="0DC123E3"/>
    <w:rsid w:val="0DDE3227"/>
    <w:rsid w:val="0DE9184E"/>
    <w:rsid w:val="0E12367C"/>
    <w:rsid w:val="0E2E2587"/>
    <w:rsid w:val="0E4B1576"/>
    <w:rsid w:val="0E547045"/>
    <w:rsid w:val="0E58495B"/>
    <w:rsid w:val="0E64279E"/>
    <w:rsid w:val="0E8518F4"/>
    <w:rsid w:val="0EA969AA"/>
    <w:rsid w:val="0EAD3C7B"/>
    <w:rsid w:val="0EAF24CD"/>
    <w:rsid w:val="0EB75826"/>
    <w:rsid w:val="0EBB3C66"/>
    <w:rsid w:val="0EBB45B0"/>
    <w:rsid w:val="0ED32660"/>
    <w:rsid w:val="0F3F5F47"/>
    <w:rsid w:val="0F576599"/>
    <w:rsid w:val="0F6A4791"/>
    <w:rsid w:val="0F930041"/>
    <w:rsid w:val="0FAE6C29"/>
    <w:rsid w:val="0FC51CE8"/>
    <w:rsid w:val="100223E4"/>
    <w:rsid w:val="100F554C"/>
    <w:rsid w:val="101F4CFE"/>
    <w:rsid w:val="103A1217"/>
    <w:rsid w:val="10453240"/>
    <w:rsid w:val="10623427"/>
    <w:rsid w:val="107621DF"/>
    <w:rsid w:val="10865C7F"/>
    <w:rsid w:val="109C6E08"/>
    <w:rsid w:val="10AC760C"/>
    <w:rsid w:val="10B10D45"/>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BD3153"/>
    <w:rsid w:val="11CB1D14"/>
    <w:rsid w:val="11CC15E8"/>
    <w:rsid w:val="11CE3880"/>
    <w:rsid w:val="11E15DDB"/>
    <w:rsid w:val="11E5266E"/>
    <w:rsid w:val="11F03528"/>
    <w:rsid w:val="11FE0CF6"/>
    <w:rsid w:val="1218459A"/>
    <w:rsid w:val="121E178F"/>
    <w:rsid w:val="12277E78"/>
    <w:rsid w:val="123258EF"/>
    <w:rsid w:val="123435EF"/>
    <w:rsid w:val="12453041"/>
    <w:rsid w:val="1293439A"/>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217712"/>
    <w:rsid w:val="13345806"/>
    <w:rsid w:val="1335544A"/>
    <w:rsid w:val="13684DFD"/>
    <w:rsid w:val="137F7A39"/>
    <w:rsid w:val="13815D45"/>
    <w:rsid w:val="13887212"/>
    <w:rsid w:val="139231D1"/>
    <w:rsid w:val="13A04ADA"/>
    <w:rsid w:val="13AB1FDE"/>
    <w:rsid w:val="13AF66D9"/>
    <w:rsid w:val="13AF6871"/>
    <w:rsid w:val="13B81E24"/>
    <w:rsid w:val="13CA1B57"/>
    <w:rsid w:val="13E850BC"/>
    <w:rsid w:val="14062128"/>
    <w:rsid w:val="1406306D"/>
    <w:rsid w:val="14100781"/>
    <w:rsid w:val="141542B3"/>
    <w:rsid w:val="14407B8F"/>
    <w:rsid w:val="144A7030"/>
    <w:rsid w:val="14505E02"/>
    <w:rsid w:val="14586A70"/>
    <w:rsid w:val="145F6743"/>
    <w:rsid w:val="14603903"/>
    <w:rsid w:val="146855F8"/>
    <w:rsid w:val="148A62EF"/>
    <w:rsid w:val="14922675"/>
    <w:rsid w:val="149E726C"/>
    <w:rsid w:val="14B52807"/>
    <w:rsid w:val="14BE2ECF"/>
    <w:rsid w:val="14C12F5A"/>
    <w:rsid w:val="14C421CA"/>
    <w:rsid w:val="14D54096"/>
    <w:rsid w:val="14F15252"/>
    <w:rsid w:val="150A2F86"/>
    <w:rsid w:val="150D2643"/>
    <w:rsid w:val="151B5225"/>
    <w:rsid w:val="151E215B"/>
    <w:rsid w:val="15522F42"/>
    <w:rsid w:val="15561574"/>
    <w:rsid w:val="1558568D"/>
    <w:rsid w:val="15653784"/>
    <w:rsid w:val="156C1118"/>
    <w:rsid w:val="15852F26"/>
    <w:rsid w:val="159863B1"/>
    <w:rsid w:val="159A517C"/>
    <w:rsid w:val="15A0315C"/>
    <w:rsid w:val="15AD5533"/>
    <w:rsid w:val="15B00C46"/>
    <w:rsid w:val="15CD3689"/>
    <w:rsid w:val="15D144C2"/>
    <w:rsid w:val="15D32F45"/>
    <w:rsid w:val="15DA0777"/>
    <w:rsid w:val="15ED4D6D"/>
    <w:rsid w:val="15F80BFE"/>
    <w:rsid w:val="15FF01DE"/>
    <w:rsid w:val="160101E2"/>
    <w:rsid w:val="160B34F9"/>
    <w:rsid w:val="161B669A"/>
    <w:rsid w:val="161D4F06"/>
    <w:rsid w:val="16382CA9"/>
    <w:rsid w:val="163B0AEA"/>
    <w:rsid w:val="166A49C1"/>
    <w:rsid w:val="16AD70B6"/>
    <w:rsid w:val="16B70AB9"/>
    <w:rsid w:val="16BB01E4"/>
    <w:rsid w:val="16CD3E38"/>
    <w:rsid w:val="16DB5131"/>
    <w:rsid w:val="16FC64CC"/>
    <w:rsid w:val="16FF643C"/>
    <w:rsid w:val="17141626"/>
    <w:rsid w:val="17164531"/>
    <w:rsid w:val="17350030"/>
    <w:rsid w:val="173B6C95"/>
    <w:rsid w:val="173E3223"/>
    <w:rsid w:val="174330D0"/>
    <w:rsid w:val="17485346"/>
    <w:rsid w:val="17500CF1"/>
    <w:rsid w:val="175C099D"/>
    <w:rsid w:val="179E5715"/>
    <w:rsid w:val="17B255FB"/>
    <w:rsid w:val="17DC1F43"/>
    <w:rsid w:val="17DC3F56"/>
    <w:rsid w:val="17E92EF4"/>
    <w:rsid w:val="17FD21D6"/>
    <w:rsid w:val="180A3163"/>
    <w:rsid w:val="18153CE9"/>
    <w:rsid w:val="18267CA4"/>
    <w:rsid w:val="185365BF"/>
    <w:rsid w:val="18610CDC"/>
    <w:rsid w:val="186159D7"/>
    <w:rsid w:val="186D58D3"/>
    <w:rsid w:val="18901263"/>
    <w:rsid w:val="18B352B0"/>
    <w:rsid w:val="18BB0E0C"/>
    <w:rsid w:val="18C7014D"/>
    <w:rsid w:val="18C80D5B"/>
    <w:rsid w:val="18D47700"/>
    <w:rsid w:val="18DE057F"/>
    <w:rsid w:val="18E57939"/>
    <w:rsid w:val="19103E5D"/>
    <w:rsid w:val="191044B0"/>
    <w:rsid w:val="19376677"/>
    <w:rsid w:val="196549B7"/>
    <w:rsid w:val="19715E69"/>
    <w:rsid w:val="1978041D"/>
    <w:rsid w:val="198645D5"/>
    <w:rsid w:val="198C7FDB"/>
    <w:rsid w:val="19947A33"/>
    <w:rsid w:val="19A075E2"/>
    <w:rsid w:val="19A65264"/>
    <w:rsid w:val="19F42A02"/>
    <w:rsid w:val="19F53DD2"/>
    <w:rsid w:val="1A1917B3"/>
    <w:rsid w:val="1A3D7527"/>
    <w:rsid w:val="1A472154"/>
    <w:rsid w:val="1A4F792D"/>
    <w:rsid w:val="1A513927"/>
    <w:rsid w:val="1A654388"/>
    <w:rsid w:val="1A693565"/>
    <w:rsid w:val="1A6D6D72"/>
    <w:rsid w:val="1A911621"/>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5C1C2F"/>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6E0AED"/>
    <w:rsid w:val="1C7535E6"/>
    <w:rsid w:val="1CBF05BF"/>
    <w:rsid w:val="1CCB5E1A"/>
    <w:rsid w:val="1CCB706C"/>
    <w:rsid w:val="1CE43C8A"/>
    <w:rsid w:val="1D0D782F"/>
    <w:rsid w:val="1D1D6812"/>
    <w:rsid w:val="1D2A34AD"/>
    <w:rsid w:val="1D375715"/>
    <w:rsid w:val="1D57062F"/>
    <w:rsid w:val="1D6D1ED1"/>
    <w:rsid w:val="1DAD6772"/>
    <w:rsid w:val="1DAE4F9B"/>
    <w:rsid w:val="1DB46794"/>
    <w:rsid w:val="1DBC793F"/>
    <w:rsid w:val="1DBD08D4"/>
    <w:rsid w:val="1DCA3975"/>
    <w:rsid w:val="1DD41F50"/>
    <w:rsid w:val="1DD43CFE"/>
    <w:rsid w:val="1DEC15DB"/>
    <w:rsid w:val="1DED0304"/>
    <w:rsid w:val="1DFA4BCA"/>
    <w:rsid w:val="1E037A02"/>
    <w:rsid w:val="1E186916"/>
    <w:rsid w:val="1E432C32"/>
    <w:rsid w:val="1E4F5A7B"/>
    <w:rsid w:val="1E537319"/>
    <w:rsid w:val="1E637854"/>
    <w:rsid w:val="1E7828DC"/>
    <w:rsid w:val="1E96518D"/>
    <w:rsid w:val="1E984D2C"/>
    <w:rsid w:val="1E990AA4"/>
    <w:rsid w:val="1EC93675"/>
    <w:rsid w:val="1ED0674A"/>
    <w:rsid w:val="1EDD751C"/>
    <w:rsid w:val="1EE44415"/>
    <w:rsid w:val="1EE6018D"/>
    <w:rsid w:val="1F02343B"/>
    <w:rsid w:val="1F0965DD"/>
    <w:rsid w:val="1F0E4FEE"/>
    <w:rsid w:val="1F1476A0"/>
    <w:rsid w:val="1F2E1825"/>
    <w:rsid w:val="1F307F51"/>
    <w:rsid w:val="1F4038FA"/>
    <w:rsid w:val="1F4153C3"/>
    <w:rsid w:val="1F422EEA"/>
    <w:rsid w:val="1F446C62"/>
    <w:rsid w:val="1F4C5B16"/>
    <w:rsid w:val="1F503858"/>
    <w:rsid w:val="1F551EB4"/>
    <w:rsid w:val="1F594E69"/>
    <w:rsid w:val="1F6E3CDF"/>
    <w:rsid w:val="1F896D6A"/>
    <w:rsid w:val="1F947BE9"/>
    <w:rsid w:val="1F9A0F77"/>
    <w:rsid w:val="1FD15EDD"/>
    <w:rsid w:val="1FE30BCD"/>
    <w:rsid w:val="1FEB7691"/>
    <w:rsid w:val="1FEC3A03"/>
    <w:rsid w:val="201C7BDE"/>
    <w:rsid w:val="20207222"/>
    <w:rsid w:val="202820DF"/>
    <w:rsid w:val="20483D02"/>
    <w:rsid w:val="204B452C"/>
    <w:rsid w:val="20891098"/>
    <w:rsid w:val="208E1534"/>
    <w:rsid w:val="20B171C1"/>
    <w:rsid w:val="20B84966"/>
    <w:rsid w:val="20DE6C42"/>
    <w:rsid w:val="21052421"/>
    <w:rsid w:val="2111004A"/>
    <w:rsid w:val="21183C07"/>
    <w:rsid w:val="21224E39"/>
    <w:rsid w:val="2122794D"/>
    <w:rsid w:val="2132347E"/>
    <w:rsid w:val="2148274F"/>
    <w:rsid w:val="216058A9"/>
    <w:rsid w:val="21690C01"/>
    <w:rsid w:val="216E7FC6"/>
    <w:rsid w:val="217F6E19"/>
    <w:rsid w:val="218E2416"/>
    <w:rsid w:val="21920158"/>
    <w:rsid w:val="21985015"/>
    <w:rsid w:val="21C052C8"/>
    <w:rsid w:val="21C86108"/>
    <w:rsid w:val="21D06ED2"/>
    <w:rsid w:val="21DD63A5"/>
    <w:rsid w:val="21E36C06"/>
    <w:rsid w:val="21F6641D"/>
    <w:rsid w:val="225D2967"/>
    <w:rsid w:val="2260745F"/>
    <w:rsid w:val="227855A0"/>
    <w:rsid w:val="228757E3"/>
    <w:rsid w:val="228D4A12"/>
    <w:rsid w:val="229A553A"/>
    <w:rsid w:val="22A77FDC"/>
    <w:rsid w:val="22B365D8"/>
    <w:rsid w:val="22D05D90"/>
    <w:rsid w:val="22F10EAE"/>
    <w:rsid w:val="22F1611C"/>
    <w:rsid w:val="22FB2D4B"/>
    <w:rsid w:val="22FB3ADB"/>
    <w:rsid w:val="230C7A96"/>
    <w:rsid w:val="232211A0"/>
    <w:rsid w:val="233308F6"/>
    <w:rsid w:val="23696C97"/>
    <w:rsid w:val="236E2B22"/>
    <w:rsid w:val="237A0EA4"/>
    <w:rsid w:val="239E7120"/>
    <w:rsid w:val="23AD6C4D"/>
    <w:rsid w:val="23DD452A"/>
    <w:rsid w:val="23DE44EE"/>
    <w:rsid w:val="23E34C9B"/>
    <w:rsid w:val="23E52BF7"/>
    <w:rsid w:val="241067BA"/>
    <w:rsid w:val="24123FC8"/>
    <w:rsid w:val="241C1F5B"/>
    <w:rsid w:val="241C7DBD"/>
    <w:rsid w:val="24443260"/>
    <w:rsid w:val="247E49C4"/>
    <w:rsid w:val="24925CBD"/>
    <w:rsid w:val="24A501A2"/>
    <w:rsid w:val="24A51F50"/>
    <w:rsid w:val="24A87D56"/>
    <w:rsid w:val="251A1081"/>
    <w:rsid w:val="252723FA"/>
    <w:rsid w:val="252E4315"/>
    <w:rsid w:val="25317C88"/>
    <w:rsid w:val="25484130"/>
    <w:rsid w:val="25512BA8"/>
    <w:rsid w:val="255D0A7D"/>
    <w:rsid w:val="25696C2E"/>
    <w:rsid w:val="256F255E"/>
    <w:rsid w:val="257858B7"/>
    <w:rsid w:val="25810BEE"/>
    <w:rsid w:val="2584027D"/>
    <w:rsid w:val="2599171D"/>
    <w:rsid w:val="25BD4455"/>
    <w:rsid w:val="25CE197B"/>
    <w:rsid w:val="25D649BC"/>
    <w:rsid w:val="25D86356"/>
    <w:rsid w:val="25DB4DE3"/>
    <w:rsid w:val="25F7772B"/>
    <w:rsid w:val="2601604F"/>
    <w:rsid w:val="26173A9D"/>
    <w:rsid w:val="26320878"/>
    <w:rsid w:val="263F63D5"/>
    <w:rsid w:val="26422054"/>
    <w:rsid w:val="266B4E43"/>
    <w:rsid w:val="26700343"/>
    <w:rsid w:val="26747E2C"/>
    <w:rsid w:val="267F5ACC"/>
    <w:rsid w:val="268E6BF0"/>
    <w:rsid w:val="26A050C5"/>
    <w:rsid w:val="26D07BC5"/>
    <w:rsid w:val="26D12B9F"/>
    <w:rsid w:val="26D96300"/>
    <w:rsid w:val="26EF052C"/>
    <w:rsid w:val="26FC7E22"/>
    <w:rsid w:val="270B01F6"/>
    <w:rsid w:val="270D3E41"/>
    <w:rsid w:val="273A7C58"/>
    <w:rsid w:val="27633147"/>
    <w:rsid w:val="27737BD1"/>
    <w:rsid w:val="27830026"/>
    <w:rsid w:val="278B7B24"/>
    <w:rsid w:val="27B20448"/>
    <w:rsid w:val="27B5749C"/>
    <w:rsid w:val="27BC5F2F"/>
    <w:rsid w:val="27D13AFA"/>
    <w:rsid w:val="27DA4FB6"/>
    <w:rsid w:val="27EC77E5"/>
    <w:rsid w:val="27EE6E31"/>
    <w:rsid w:val="27F37477"/>
    <w:rsid w:val="28011B94"/>
    <w:rsid w:val="280B2281"/>
    <w:rsid w:val="28132854"/>
    <w:rsid w:val="281573ED"/>
    <w:rsid w:val="28213FE4"/>
    <w:rsid w:val="28305FD5"/>
    <w:rsid w:val="283F26BC"/>
    <w:rsid w:val="28461C9C"/>
    <w:rsid w:val="28572169"/>
    <w:rsid w:val="28594A45"/>
    <w:rsid w:val="286F11F3"/>
    <w:rsid w:val="287C44CA"/>
    <w:rsid w:val="289607B9"/>
    <w:rsid w:val="28B27332"/>
    <w:rsid w:val="29001DAB"/>
    <w:rsid w:val="29322C3B"/>
    <w:rsid w:val="295B37F7"/>
    <w:rsid w:val="296B2A0A"/>
    <w:rsid w:val="29982961"/>
    <w:rsid w:val="29B7714B"/>
    <w:rsid w:val="29CE5AA6"/>
    <w:rsid w:val="29F23E8A"/>
    <w:rsid w:val="2A222295"/>
    <w:rsid w:val="2A2E0C3A"/>
    <w:rsid w:val="2A44045E"/>
    <w:rsid w:val="2A5206CF"/>
    <w:rsid w:val="2A6401B8"/>
    <w:rsid w:val="2A65738E"/>
    <w:rsid w:val="2A9D36CA"/>
    <w:rsid w:val="2AAE5148"/>
    <w:rsid w:val="2AD30362"/>
    <w:rsid w:val="2AD86C9A"/>
    <w:rsid w:val="2AF23A16"/>
    <w:rsid w:val="2B277B63"/>
    <w:rsid w:val="2B514F38"/>
    <w:rsid w:val="2B5621F6"/>
    <w:rsid w:val="2B595843"/>
    <w:rsid w:val="2B5F129D"/>
    <w:rsid w:val="2B644AE3"/>
    <w:rsid w:val="2B7462A4"/>
    <w:rsid w:val="2B81686E"/>
    <w:rsid w:val="2B913769"/>
    <w:rsid w:val="2BA03472"/>
    <w:rsid w:val="2BA6268E"/>
    <w:rsid w:val="2BB51456"/>
    <w:rsid w:val="2BBB02AC"/>
    <w:rsid w:val="2BCC070B"/>
    <w:rsid w:val="2BD001FB"/>
    <w:rsid w:val="2BD376AB"/>
    <w:rsid w:val="2C071B96"/>
    <w:rsid w:val="2C0C12C0"/>
    <w:rsid w:val="2C4900D0"/>
    <w:rsid w:val="2C52061F"/>
    <w:rsid w:val="2C520C10"/>
    <w:rsid w:val="2C557E64"/>
    <w:rsid w:val="2C70553A"/>
    <w:rsid w:val="2CB405CE"/>
    <w:rsid w:val="2CB847EB"/>
    <w:rsid w:val="2CBC42DB"/>
    <w:rsid w:val="2CC11743"/>
    <w:rsid w:val="2CE2162C"/>
    <w:rsid w:val="2CF33A75"/>
    <w:rsid w:val="2CFC27F3"/>
    <w:rsid w:val="2D070398"/>
    <w:rsid w:val="2D0A773C"/>
    <w:rsid w:val="2D0C3CE8"/>
    <w:rsid w:val="2D0F4D53"/>
    <w:rsid w:val="2D102879"/>
    <w:rsid w:val="2D185597"/>
    <w:rsid w:val="2D2C5FB8"/>
    <w:rsid w:val="2D486A1B"/>
    <w:rsid w:val="2D5621DC"/>
    <w:rsid w:val="2D594220"/>
    <w:rsid w:val="2D7C7C1C"/>
    <w:rsid w:val="2D8617C6"/>
    <w:rsid w:val="2D994C40"/>
    <w:rsid w:val="2DA52FC1"/>
    <w:rsid w:val="2DDE305F"/>
    <w:rsid w:val="2DE12C60"/>
    <w:rsid w:val="2DE26928"/>
    <w:rsid w:val="2DE955A4"/>
    <w:rsid w:val="2DFE7860"/>
    <w:rsid w:val="2E3A5DFF"/>
    <w:rsid w:val="2E687433"/>
    <w:rsid w:val="2E712088"/>
    <w:rsid w:val="2E8157DC"/>
    <w:rsid w:val="2E825AD2"/>
    <w:rsid w:val="2E992738"/>
    <w:rsid w:val="2EA339A5"/>
    <w:rsid w:val="2EA9088F"/>
    <w:rsid w:val="2EC51D18"/>
    <w:rsid w:val="2EC671E4"/>
    <w:rsid w:val="2ED51684"/>
    <w:rsid w:val="2EE23DA1"/>
    <w:rsid w:val="2EF2479E"/>
    <w:rsid w:val="2EF7784D"/>
    <w:rsid w:val="2EFB72A5"/>
    <w:rsid w:val="2F06074C"/>
    <w:rsid w:val="2F1E48F7"/>
    <w:rsid w:val="2F2D14C0"/>
    <w:rsid w:val="2F4F7689"/>
    <w:rsid w:val="2F65401A"/>
    <w:rsid w:val="2F70551E"/>
    <w:rsid w:val="2F843867"/>
    <w:rsid w:val="2F910D66"/>
    <w:rsid w:val="2F917175"/>
    <w:rsid w:val="2FB952B4"/>
    <w:rsid w:val="2FBD0A96"/>
    <w:rsid w:val="2FBE036A"/>
    <w:rsid w:val="2FC53D4A"/>
    <w:rsid w:val="2FE75097"/>
    <w:rsid w:val="2FF16992"/>
    <w:rsid w:val="2FF344B8"/>
    <w:rsid w:val="2FF35785"/>
    <w:rsid w:val="2FF81ACE"/>
    <w:rsid w:val="2FF9238E"/>
    <w:rsid w:val="30322514"/>
    <w:rsid w:val="304657BB"/>
    <w:rsid w:val="30556F21"/>
    <w:rsid w:val="30641927"/>
    <w:rsid w:val="30884956"/>
    <w:rsid w:val="30986E0D"/>
    <w:rsid w:val="30CB71E3"/>
    <w:rsid w:val="30DF7011"/>
    <w:rsid w:val="30F04DDC"/>
    <w:rsid w:val="310D15A9"/>
    <w:rsid w:val="31126BC0"/>
    <w:rsid w:val="311A222F"/>
    <w:rsid w:val="311E37B6"/>
    <w:rsid w:val="3121514F"/>
    <w:rsid w:val="312C3DE1"/>
    <w:rsid w:val="313E1763"/>
    <w:rsid w:val="31483202"/>
    <w:rsid w:val="314964D6"/>
    <w:rsid w:val="31505D6B"/>
    <w:rsid w:val="31505E6B"/>
    <w:rsid w:val="3152632A"/>
    <w:rsid w:val="31593D93"/>
    <w:rsid w:val="316C5CD8"/>
    <w:rsid w:val="316D2048"/>
    <w:rsid w:val="3171536C"/>
    <w:rsid w:val="318B242E"/>
    <w:rsid w:val="31B00383"/>
    <w:rsid w:val="31B71515"/>
    <w:rsid w:val="31CA11A2"/>
    <w:rsid w:val="31CF4AB1"/>
    <w:rsid w:val="31DE75C5"/>
    <w:rsid w:val="31E06CBE"/>
    <w:rsid w:val="31F12C79"/>
    <w:rsid w:val="31FE0EF2"/>
    <w:rsid w:val="320261C4"/>
    <w:rsid w:val="320327E8"/>
    <w:rsid w:val="32161AB2"/>
    <w:rsid w:val="321E3342"/>
    <w:rsid w:val="32263B47"/>
    <w:rsid w:val="324D479C"/>
    <w:rsid w:val="32601BAD"/>
    <w:rsid w:val="326453B1"/>
    <w:rsid w:val="32952F4C"/>
    <w:rsid w:val="32963820"/>
    <w:rsid w:val="32977AF8"/>
    <w:rsid w:val="32DE38BE"/>
    <w:rsid w:val="32FA3DAF"/>
    <w:rsid w:val="33197AA3"/>
    <w:rsid w:val="331E002D"/>
    <w:rsid w:val="33333DF2"/>
    <w:rsid w:val="33576B0C"/>
    <w:rsid w:val="337C2B86"/>
    <w:rsid w:val="33883169"/>
    <w:rsid w:val="33CC3776"/>
    <w:rsid w:val="33FA13D4"/>
    <w:rsid w:val="33FE034B"/>
    <w:rsid w:val="34052934"/>
    <w:rsid w:val="3422536C"/>
    <w:rsid w:val="342F1F88"/>
    <w:rsid w:val="34572B3B"/>
    <w:rsid w:val="34675474"/>
    <w:rsid w:val="348C6C89"/>
    <w:rsid w:val="34951FE2"/>
    <w:rsid w:val="34A244D0"/>
    <w:rsid w:val="34B71490"/>
    <w:rsid w:val="34BB131C"/>
    <w:rsid w:val="34C915A1"/>
    <w:rsid w:val="34D128B0"/>
    <w:rsid w:val="34D55CA6"/>
    <w:rsid w:val="34F767F8"/>
    <w:rsid w:val="35082F60"/>
    <w:rsid w:val="350B5E00"/>
    <w:rsid w:val="350C08BE"/>
    <w:rsid w:val="351433FA"/>
    <w:rsid w:val="351A24E7"/>
    <w:rsid w:val="353006C9"/>
    <w:rsid w:val="35417A73"/>
    <w:rsid w:val="355E1D88"/>
    <w:rsid w:val="35607CF6"/>
    <w:rsid w:val="359940BE"/>
    <w:rsid w:val="35AE2C5D"/>
    <w:rsid w:val="35BE2E72"/>
    <w:rsid w:val="35C372ED"/>
    <w:rsid w:val="35CB7E1E"/>
    <w:rsid w:val="35DC597F"/>
    <w:rsid w:val="35DD75FE"/>
    <w:rsid w:val="35DE4861"/>
    <w:rsid w:val="35E64B49"/>
    <w:rsid w:val="3627628E"/>
    <w:rsid w:val="362C24D2"/>
    <w:rsid w:val="36332F50"/>
    <w:rsid w:val="36383172"/>
    <w:rsid w:val="363F699E"/>
    <w:rsid w:val="36514DE1"/>
    <w:rsid w:val="36653C36"/>
    <w:rsid w:val="366E5800"/>
    <w:rsid w:val="367F63D3"/>
    <w:rsid w:val="368F0CB2"/>
    <w:rsid w:val="36B05A06"/>
    <w:rsid w:val="36B85B13"/>
    <w:rsid w:val="36B96B74"/>
    <w:rsid w:val="36DA2194"/>
    <w:rsid w:val="374558A4"/>
    <w:rsid w:val="374D6BA3"/>
    <w:rsid w:val="37503F9E"/>
    <w:rsid w:val="37542D46"/>
    <w:rsid w:val="37645A3B"/>
    <w:rsid w:val="3776777C"/>
    <w:rsid w:val="379D4064"/>
    <w:rsid w:val="37C14E9C"/>
    <w:rsid w:val="37C4673A"/>
    <w:rsid w:val="37E33064"/>
    <w:rsid w:val="381476C1"/>
    <w:rsid w:val="38284F1B"/>
    <w:rsid w:val="38305B7D"/>
    <w:rsid w:val="38310570"/>
    <w:rsid w:val="38365D05"/>
    <w:rsid w:val="383A6D6A"/>
    <w:rsid w:val="38463457"/>
    <w:rsid w:val="38563836"/>
    <w:rsid w:val="386C3BC6"/>
    <w:rsid w:val="38761738"/>
    <w:rsid w:val="387B329C"/>
    <w:rsid w:val="388E63CD"/>
    <w:rsid w:val="38977CDC"/>
    <w:rsid w:val="389E359A"/>
    <w:rsid w:val="38A97E48"/>
    <w:rsid w:val="38B63099"/>
    <w:rsid w:val="38B73D64"/>
    <w:rsid w:val="38C70290"/>
    <w:rsid w:val="38D806EF"/>
    <w:rsid w:val="38F65019"/>
    <w:rsid w:val="38FD63A7"/>
    <w:rsid w:val="391060DB"/>
    <w:rsid w:val="391334D5"/>
    <w:rsid w:val="391F1A18"/>
    <w:rsid w:val="39240C19"/>
    <w:rsid w:val="392B787A"/>
    <w:rsid w:val="392D2B72"/>
    <w:rsid w:val="39312653"/>
    <w:rsid w:val="393B1783"/>
    <w:rsid w:val="395104A1"/>
    <w:rsid w:val="39592C8F"/>
    <w:rsid w:val="395C290E"/>
    <w:rsid w:val="39693A3D"/>
    <w:rsid w:val="397F6DBC"/>
    <w:rsid w:val="39805D6E"/>
    <w:rsid w:val="39932868"/>
    <w:rsid w:val="399D7AFF"/>
    <w:rsid w:val="39A60FA8"/>
    <w:rsid w:val="39A84565"/>
    <w:rsid w:val="39B06F76"/>
    <w:rsid w:val="39B25E48"/>
    <w:rsid w:val="39BC7DFD"/>
    <w:rsid w:val="39C649EB"/>
    <w:rsid w:val="39DB383C"/>
    <w:rsid w:val="3A1A5C49"/>
    <w:rsid w:val="3A227348"/>
    <w:rsid w:val="3A26548A"/>
    <w:rsid w:val="3A2D6818"/>
    <w:rsid w:val="3A2E488D"/>
    <w:rsid w:val="3A7935FC"/>
    <w:rsid w:val="3A7E0E22"/>
    <w:rsid w:val="3A966BFF"/>
    <w:rsid w:val="3A971F7B"/>
    <w:rsid w:val="3AA12D62"/>
    <w:rsid w:val="3AA27206"/>
    <w:rsid w:val="3AC22209"/>
    <w:rsid w:val="3B082DE1"/>
    <w:rsid w:val="3B1A0F83"/>
    <w:rsid w:val="3B265A76"/>
    <w:rsid w:val="3B390975"/>
    <w:rsid w:val="3B443337"/>
    <w:rsid w:val="3B5576EF"/>
    <w:rsid w:val="3B691AD2"/>
    <w:rsid w:val="3B7364AD"/>
    <w:rsid w:val="3B783976"/>
    <w:rsid w:val="3B7E3B9C"/>
    <w:rsid w:val="3B8C57C0"/>
    <w:rsid w:val="3B9B5A04"/>
    <w:rsid w:val="3B9D641D"/>
    <w:rsid w:val="3BCE2366"/>
    <w:rsid w:val="3BEF38F1"/>
    <w:rsid w:val="3BFE7295"/>
    <w:rsid w:val="3C0555B2"/>
    <w:rsid w:val="3C065573"/>
    <w:rsid w:val="3C3C71E7"/>
    <w:rsid w:val="3C485B8B"/>
    <w:rsid w:val="3C4C3631"/>
    <w:rsid w:val="3C4F0B4F"/>
    <w:rsid w:val="3C7A0A20"/>
    <w:rsid w:val="3C914A84"/>
    <w:rsid w:val="3CA465F3"/>
    <w:rsid w:val="3CAD1E92"/>
    <w:rsid w:val="3CB43221"/>
    <w:rsid w:val="3CCF3BB7"/>
    <w:rsid w:val="3CE11114"/>
    <w:rsid w:val="3D0A1093"/>
    <w:rsid w:val="3D136199"/>
    <w:rsid w:val="3D186F6A"/>
    <w:rsid w:val="3D2E2FD3"/>
    <w:rsid w:val="3D496DB4"/>
    <w:rsid w:val="3D536596"/>
    <w:rsid w:val="3D6709BE"/>
    <w:rsid w:val="3D6C76C2"/>
    <w:rsid w:val="3D762284"/>
    <w:rsid w:val="3D78388C"/>
    <w:rsid w:val="3D9A1050"/>
    <w:rsid w:val="3D9E45C6"/>
    <w:rsid w:val="3DA8208E"/>
    <w:rsid w:val="3DAE2EBA"/>
    <w:rsid w:val="3DCE0312"/>
    <w:rsid w:val="3DE770C2"/>
    <w:rsid w:val="3E017017"/>
    <w:rsid w:val="3E076F1C"/>
    <w:rsid w:val="3E155FE5"/>
    <w:rsid w:val="3E2E18E1"/>
    <w:rsid w:val="3E525E27"/>
    <w:rsid w:val="3E5F45E9"/>
    <w:rsid w:val="3E6976D5"/>
    <w:rsid w:val="3E746592"/>
    <w:rsid w:val="3E762588"/>
    <w:rsid w:val="3E8517F7"/>
    <w:rsid w:val="3E946AF8"/>
    <w:rsid w:val="3EA1722B"/>
    <w:rsid w:val="3EB260D6"/>
    <w:rsid w:val="3EBC7034"/>
    <w:rsid w:val="3ED71FF0"/>
    <w:rsid w:val="3EE46D5C"/>
    <w:rsid w:val="3EEA641F"/>
    <w:rsid w:val="3EEB6C17"/>
    <w:rsid w:val="3EFB5264"/>
    <w:rsid w:val="3F035D9A"/>
    <w:rsid w:val="3F1461F9"/>
    <w:rsid w:val="3F261A88"/>
    <w:rsid w:val="3F3F2FD1"/>
    <w:rsid w:val="3F43663F"/>
    <w:rsid w:val="3F494E6B"/>
    <w:rsid w:val="3F4F0FDF"/>
    <w:rsid w:val="3F553395"/>
    <w:rsid w:val="3F786788"/>
    <w:rsid w:val="3F854A01"/>
    <w:rsid w:val="3F8F3AD1"/>
    <w:rsid w:val="3FC75019"/>
    <w:rsid w:val="3FDE48BE"/>
    <w:rsid w:val="3FE91433"/>
    <w:rsid w:val="3FF027C2"/>
    <w:rsid w:val="3FF4061B"/>
    <w:rsid w:val="3FFA719D"/>
    <w:rsid w:val="3FFF1934"/>
    <w:rsid w:val="4004648D"/>
    <w:rsid w:val="40186F8C"/>
    <w:rsid w:val="40420B44"/>
    <w:rsid w:val="404A5243"/>
    <w:rsid w:val="406D3CE7"/>
    <w:rsid w:val="407526A4"/>
    <w:rsid w:val="407C4056"/>
    <w:rsid w:val="40845E49"/>
    <w:rsid w:val="40A86BF9"/>
    <w:rsid w:val="40BE4471"/>
    <w:rsid w:val="40E1035D"/>
    <w:rsid w:val="411005E8"/>
    <w:rsid w:val="41114F25"/>
    <w:rsid w:val="41447E22"/>
    <w:rsid w:val="41474E76"/>
    <w:rsid w:val="414A4154"/>
    <w:rsid w:val="41522A86"/>
    <w:rsid w:val="41593F6B"/>
    <w:rsid w:val="41685208"/>
    <w:rsid w:val="416F5968"/>
    <w:rsid w:val="417E5516"/>
    <w:rsid w:val="417E7288"/>
    <w:rsid w:val="418B7876"/>
    <w:rsid w:val="418F49EA"/>
    <w:rsid w:val="41B31CF9"/>
    <w:rsid w:val="41CF4659"/>
    <w:rsid w:val="41FB36A0"/>
    <w:rsid w:val="41FE1F8D"/>
    <w:rsid w:val="42213106"/>
    <w:rsid w:val="422C3859"/>
    <w:rsid w:val="42426BD9"/>
    <w:rsid w:val="42545CAF"/>
    <w:rsid w:val="42813BA5"/>
    <w:rsid w:val="428A2783"/>
    <w:rsid w:val="429A3C84"/>
    <w:rsid w:val="42E443F3"/>
    <w:rsid w:val="42E67EAC"/>
    <w:rsid w:val="42F97BDF"/>
    <w:rsid w:val="43045C0F"/>
    <w:rsid w:val="4309762C"/>
    <w:rsid w:val="431272F0"/>
    <w:rsid w:val="43135B73"/>
    <w:rsid w:val="43326BAB"/>
    <w:rsid w:val="433E238F"/>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40525B4"/>
    <w:rsid w:val="44123DA4"/>
    <w:rsid w:val="44291151"/>
    <w:rsid w:val="442944F4"/>
    <w:rsid w:val="44427364"/>
    <w:rsid w:val="44654E01"/>
    <w:rsid w:val="44703ED1"/>
    <w:rsid w:val="44762A3D"/>
    <w:rsid w:val="44976870"/>
    <w:rsid w:val="44B729CE"/>
    <w:rsid w:val="44C85ABB"/>
    <w:rsid w:val="450067EC"/>
    <w:rsid w:val="45172264"/>
    <w:rsid w:val="45237005"/>
    <w:rsid w:val="454809AA"/>
    <w:rsid w:val="457C1EE7"/>
    <w:rsid w:val="45920AF2"/>
    <w:rsid w:val="459A7B85"/>
    <w:rsid w:val="459D0FAB"/>
    <w:rsid w:val="45AC19CC"/>
    <w:rsid w:val="45BC6CA2"/>
    <w:rsid w:val="45EF7078"/>
    <w:rsid w:val="4605689B"/>
    <w:rsid w:val="46137519"/>
    <w:rsid w:val="46252A99"/>
    <w:rsid w:val="46333408"/>
    <w:rsid w:val="46357180"/>
    <w:rsid w:val="46377F7D"/>
    <w:rsid w:val="46402205"/>
    <w:rsid w:val="465F6C1E"/>
    <w:rsid w:val="46611B8C"/>
    <w:rsid w:val="467C4DAF"/>
    <w:rsid w:val="46804AC7"/>
    <w:rsid w:val="46810B28"/>
    <w:rsid w:val="468236C6"/>
    <w:rsid w:val="468947E0"/>
    <w:rsid w:val="46A61E2C"/>
    <w:rsid w:val="46AA796A"/>
    <w:rsid w:val="46B636FC"/>
    <w:rsid w:val="46C54B26"/>
    <w:rsid w:val="470628CB"/>
    <w:rsid w:val="474F17A4"/>
    <w:rsid w:val="474F47BA"/>
    <w:rsid w:val="4760647F"/>
    <w:rsid w:val="477B5F15"/>
    <w:rsid w:val="47A0687C"/>
    <w:rsid w:val="47A63C85"/>
    <w:rsid w:val="47CC1972"/>
    <w:rsid w:val="47D1092E"/>
    <w:rsid w:val="47F00E85"/>
    <w:rsid w:val="47F271B2"/>
    <w:rsid w:val="47F7235A"/>
    <w:rsid w:val="47F8086D"/>
    <w:rsid w:val="48060346"/>
    <w:rsid w:val="480F3A01"/>
    <w:rsid w:val="48195A2E"/>
    <w:rsid w:val="481A3A9E"/>
    <w:rsid w:val="484336AB"/>
    <w:rsid w:val="48434C98"/>
    <w:rsid w:val="4855001F"/>
    <w:rsid w:val="485D29BF"/>
    <w:rsid w:val="485D462D"/>
    <w:rsid w:val="48606233"/>
    <w:rsid w:val="48671147"/>
    <w:rsid w:val="487A3C1A"/>
    <w:rsid w:val="488B4A09"/>
    <w:rsid w:val="488E0BAD"/>
    <w:rsid w:val="48AA4D31"/>
    <w:rsid w:val="48BD34D6"/>
    <w:rsid w:val="48BD520B"/>
    <w:rsid w:val="48C72C15"/>
    <w:rsid w:val="48C928D2"/>
    <w:rsid w:val="48FD385A"/>
    <w:rsid w:val="4900334A"/>
    <w:rsid w:val="490948F4"/>
    <w:rsid w:val="4916602E"/>
    <w:rsid w:val="49176C25"/>
    <w:rsid w:val="497A75A0"/>
    <w:rsid w:val="49877D6A"/>
    <w:rsid w:val="4993288F"/>
    <w:rsid w:val="49B51BAE"/>
    <w:rsid w:val="49B56541"/>
    <w:rsid w:val="49BD2527"/>
    <w:rsid w:val="49CA5E32"/>
    <w:rsid w:val="49CF169A"/>
    <w:rsid w:val="49D765D8"/>
    <w:rsid w:val="49E07403"/>
    <w:rsid w:val="49F0391B"/>
    <w:rsid w:val="4A015C45"/>
    <w:rsid w:val="4A037596"/>
    <w:rsid w:val="4A0D37A6"/>
    <w:rsid w:val="4A1279BF"/>
    <w:rsid w:val="4A1C0B4B"/>
    <w:rsid w:val="4A1C51FA"/>
    <w:rsid w:val="4A1D136F"/>
    <w:rsid w:val="4A2C791A"/>
    <w:rsid w:val="4A407EA2"/>
    <w:rsid w:val="4A6107E8"/>
    <w:rsid w:val="4A6B1DF5"/>
    <w:rsid w:val="4A722025"/>
    <w:rsid w:val="4A9E38E2"/>
    <w:rsid w:val="4AB16FF2"/>
    <w:rsid w:val="4ACB00B3"/>
    <w:rsid w:val="4ACE24AA"/>
    <w:rsid w:val="4AD625B4"/>
    <w:rsid w:val="4AE53698"/>
    <w:rsid w:val="4AF929BB"/>
    <w:rsid w:val="4B004857"/>
    <w:rsid w:val="4B0B6702"/>
    <w:rsid w:val="4B11745C"/>
    <w:rsid w:val="4B182BCD"/>
    <w:rsid w:val="4B3D416A"/>
    <w:rsid w:val="4B553E21"/>
    <w:rsid w:val="4B7324F9"/>
    <w:rsid w:val="4B75001F"/>
    <w:rsid w:val="4B9F4176"/>
    <w:rsid w:val="4BB2440B"/>
    <w:rsid w:val="4BBF181D"/>
    <w:rsid w:val="4BF74ED8"/>
    <w:rsid w:val="4C002553"/>
    <w:rsid w:val="4C1E2465"/>
    <w:rsid w:val="4C24253D"/>
    <w:rsid w:val="4C2B6208"/>
    <w:rsid w:val="4C405568"/>
    <w:rsid w:val="4C447F29"/>
    <w:rsid w:val="4C575977"/>
    <w:rsid w:val="4C6267F5"/>
    <w:rsid w:val="4C6912A9"/>
    <w:rsid w:val="4C771B75"/>
    <w:rsid w:val="4C8272C8"/>
    <w:rsid w:val="4C8C713F"/>
    <w:rsid w:val="4C916C2A"/>
    <w:rsid w:val="4CAA1F4A"/>
    <w:rsid w:val="4CC56D84"/>
    <w:rsid w:val="4CD34FFD"/>
    <w:rsid w:val="4CFB09F8"/>
    <w:rsid w:val="4D134D83"/>
    <w:rsid w:val="4D4D27E3"/>
    <w:rsid w:val="4D6E6AAF"/>
    <w:rsid w:val="4D803138"/>
    <w:rsid w:val="4D8E6C34"/>
    <w:rsid w:val="4D9D385D"/>
    <w:rsid w:val="4D9E4411"/>
    <w:rsid w:val="4DB7491F"/>
    <w:rsid w:val="4DC66BE6"/>
    <w:rsid w:val="4DE67A00"/>
    <w:rsid w:val="4DFF1AA1"/>
    <w:rsid w:val="4E085533"/>
    <w:rsid w:val="4E094A4F"/>
    <w:rsid w:val="4E0976AB"/>
    <w:rsid w:val="4E1753BE"/>
    <w:rsid w:val="4E1F1702"/>
    <w:rsid w:val="4E3E4E60"/>
    <w:rsid w:val="4E687929"/>
    <w:rsid w:val="4E6C2270"/>
    <w:rsid w:val="4E7E368F"/>
    <w:rsid w:val="4E931338"/>
    <w:rsid w:val="4EB3343D"/>
    <w:rsid w:val="4EB34377"/>
    <w:rsid w:val="4EB42C0C"/>
    <w:rsid w:val="4EC67215"/>
    <w:rsid w:val="4ED4505D"/>
    <w:rsid w:val="4ED82D9F"/>
    <w:rsid w:val="4EF770CB"/>
    <w:rsid w:val="4F05790C"/>
    <w:rsid w:val="4F4E12B3"/>
    <w:rsid w:val="4F6A776F"/>
    <w:rsid w:val="4F7D74A2"/>
    <w:rsid w:val="4FA15887"/>
    <w:rsid w:val="4FA34B34"/>
    <w:rsid w:val="4FB31116"/>
    <w:rsid w:val="4FBD6BF1"/>
    <w:rsid w:val="4FC357FD"/>
    <w:rsid w:val="4FC6067D"/>
    <w:rsid w:val="4FCE7A0A"/>
    <w:rsid w:val="4FE8630A"/>
    <w:rsid w:val="50175D29"/>
    <w:rsid w:val="501F1A47"/>
    <w:rsid w:val="50416775"/>
    <w:rsid w:val="506660F1"/>
    <w:rsid w:val="50700F74"/>
    <w:rsid w:val="507765E7"/>
    <w:rsid w:val="509B1A23"/>
    <w:rsid w:val="50BC224C"/>
    <w:rsid w:val="50C0143E"/>
    <w:rsid w:val="50EF3FAB"/>
    <w:rsid w:val="50F84542"/>
    <w:rsid w:val="51031C29"/>
    <w:rsid w:val="51143E36"/>
    <w:rsid w:val="512613FD"/>
    <w:rsid w:val="51265514"/>
    <w:rsid w:val="51296E20"/>
    <w:rsid w:val="512F3572"/>
    <w:rsid w:val="515B7CB7"/>
    <w:rsid w:val="515D57DD"/>
    <w:rsid w:val="515E5734"/>
    <w:rsid w:val="515F265D"/>
    <w:rsid w:val="51766B2C"/>
    <w:rsid w:val="519C4558"/>
    <w:rsid w:val="51AC0513"/>
    <w:rsid w:val="51C47ACD"/>
    <w:rsid w:val="51D75590"/>
    <w:rsid w:val="51E94C1F"/>
    <w:rsid w:val="51EB2DE9"/>
    <w:rsid w:val="520D3918"/>
    <w:rsid w:val="521F448D"/>
    <w:rsid w:val="522827C6"/>
    <w:rsid w:val="523E560F"/>
    <w:rsid w:val="523E6518"/>
    <w:rsid w:val="52426CE1"/>
    <w:rsid w:val="524E1B29"/>
    <w:rsid w:val="525D691E"/>
    <w:rsid w:val="52632C58"/>
    <w:rsid w:val="527C76A6"/>
    <w:rsid w:val="52804889"/>
    <w:rsid w:val="528A2602"/>
    <w:rsid w:val="52B92F75"/>
    <w:rsid w:val="52C06024"/>
    <w:rsid w:val="52CF76CA"/>
    <w:rsid w:val="52D941BD"/>
    <w:rsid w:val="52DC5818"/>
    <w:rsid w:val="52DE1F32"/>
    <w:rsid w:val="52F1442F"/>
    <w:rsid w:val="531B5950"/>
    <w:rsid w:val="53202487"/>
    <w:rsid w:val="532A16EF"/>
    <w:rsid w:val="53326F35"/>
    <w:rsid w:val="535719AF"/>
    <w:rsid w:val="53685DC3"/>
    <w:rsid w:val="53A25729"/>
    <w:rsid w:val="53AA2A01"/>
    <w:rsid w:val="53AE752F"/>
    <w:rsid w:val="53B8319F"/>
    <w:rsid w:val="53EB5E3E"/>
    <w:rsid w:val="54046D5C"/>
    <w:rsid w:val="540D5E1D"/>
    <w:rsid w:val="540E0E3F"/>
    <w:rsid w:val="541128AF"/>
    <w:rsid w:val="54177AB0"/>
    <w:rsid w:val="542919A7"/>
    <w:rsid w:val="542B642E"/>
    <w:rsid w:val="54387E3C"/>
    <w:rsid w:val="5451304A"/>
    <w:rsid w:val="54534F70"/>
    <w:rsid w:val="54605D47"/>
    <w:rsid w:val="546B4511"/>
    <w:rsid w:val="54BD7A0F"/>
    <w:rsid w:val="54C0055D"/>
    <w:rsid w:val="54CD2C7A"/>
    <w:rsid w:val="54F1040F"/>
    <w:rsid w:val="54F621D1"/>
    <w:rsid w:val="55004DFD"/>
    <w:rsid w:val="552D3354"/>
    <w:rsid w:val="55486DD7"/>
    <w:rsid w:val="554C495B"/>
    <w:rsid w:val="558D7E67"/>
    <w:rsid w:val="55B55408"/>
    <w:rsid w:val="55D27501"/>
    <w:rsid w:val="55DB4F23"/>
    <w:rsid w:val="56293EE0"/>
    <w:rsid w:val="56301712"/>
    <w:rsid w:val="563F54B2"/>
    <w:rsid w:val="56407B31"/>
    <w:rsid w:val="566B274A"/>
    <w:rsid w:val="569A4DDE"/>
    <w:rsid w:val="569F6CEC"/>
    <w:rsid w:val="56BB686A"/>
    <w:rsid w:val="56C86B61"/>
    <w:rsid w:val="56D976B4"/>
    <w:rsid w:val="56E34278"/>
    <w:rsid w:val="56F72230"/>
    <w:rsid w:val="56F8518D"/>
    <w:rsid w:val="56FC15F5"/>
    <w:rsid w:val="57071EFB"/>
    <w:rsid w:val="572E3B80"/>
    <w:rsid w:val="574A4477"/>
    <w:rsid w:val="5755418B"/>
    <w:rsid w:val="575C1911"/>
    <w:rsid w:val="5779380E"/>
    <w:rsid w:val="579228CF"/>
    <w:rsid w:val="579D6934"/>
    <w:rsid w:val="57AD13F7"/>
    <w:rsid w:val="57B61657"/>
    <w:rsid w:val="57CD2643"/>
    <w:rsid w:val="57E24C8E"/>
    <w:rsid w:val="57E50508"/>
    <w:rsid w:val="5805272B"/>
    <w:rsid w:val="581367A6"/>
    <w:rsid w:val="581F6955"/>
    <w:rsid w:val="582D573F"/>
    <w:rsid w:val="5838665C"/>
    <w:rsid w:val="58483963"/>
    <w:rsid w:val="585B467E"/>
    <w:rsid w:val="58616610"/>
    <w:rsid w:val="58864000"/>
    <w:rsid w:val="588B22FF"/>
    <w:rsid w:val="589469D9"/>
    <w:rsid w:val="58A14BBC"/>
    <w:rsid w:val="58C15A31"/>
    <w:rsid w:val="58C63C68"/>
    <w:rsid w:val="58E43355"/>
    <w:rsid w:val="58E665AE"/>
    <w:rsid w:val="58EF353A"/>
    <w:rsid w:val="591757EC"/>
    <w:rsid w:val="59205A6E"/>
    <w:rsid w:val="592369E6"/>
    <w:rsid w:val="59273FBA"/>
    <w:rsid w:val="59327287"/>
    <w:rsid w:val="595B0854"/>
    <w:rsid w:val="596945E9"/>
    <w:rsid w:val="598765A3"/>
    <w:rsid w:val="599035FD"/>
    <w:rsid w:val="59C90A06"/>
    <w:rsid w:val="59DB7BE7"/>
    <w:rsid w:val="59F72B17"/>
    <w:rsid w:val="5A0C5FF2"/>
    <w:rsid w:val="5A105AE3"/>
    <w:rsid w:val="5A1251E1"/>
    <w:rsid w:val="5A405C9C"/>
    <w:rsid w:val="5A4C3B3E"/>
    <w:rsid w:val="5A5532CF"/>
    <w:rsid w:val="5A584D94"/>
    <w:rsid w:val="5A634DFB"/>
    <w:rsid w:val="5A7312A0"/>
    <w:rsid w:val="5A7871E4"/>
    <w:rsid w:val="5A79271A"/>
    <w:rsid w:val="5ADE2869"/>
    <w:rsid w:val="5AEB08A7"/>
    <w:rsid w:val="5B152C85"/>
    <w:rsid w:val="5B5254FB"/>
    <w:rsid w:val="5B5B66DC"/>
    <w:rsid w:val="5B5C7615"/>
    <w:rsid w:val="5B6A162C"/>
    <w:rsid w:val="5B863B83"/>
    <w:rsid w:val="5B8D63AC"/>
    <w:rsid w:val="5B8E36FB"/>
    <w:rsid w:val="5BB701E0"/>
    <w:rsid w:val="5BB93F58"/>
    <w:rsid w:val="5BC85F49"/>
    <w:rsid w:val="5BFB4366"/>
    <w:rsid w:val="5BFC6F6A"/>
    <w:rsid w:val="5C1B076F"/>
    <w:rsid w:val="5C2859B8"/>
    <w:rsid w:val="5C2F421A"/>
    <w:rsid w:val="5C307DD2"/>
    <w:rsid w:val="5C37394C"/>
    <w:rsid w:val="5C392920"/>
    <w:rsid w:val="5C567452"/>
    <w:rsid w:val="5C5934B7"/>
    <w:rsid w:val="5C5B0B6B"/>
    <w:rsid w:val="5C78796F"/>
    <w:rsid w:val="5C7B35C9"/>
    <w:rsid w:val="5C8005D2"/>
    <w:rsid w:val="5CA72002"/>
    <w:rsid w:val="5CB323C9"/>
    <w:rsid w:val="5CBF3AD3"/>
    <w:rsid w:val="5CCF02E3"/>
    <w:rsid w:val="5CDA428D"/>
    <w:rsid w:val="5CF8460C"/>
    <w:rsid w:val="5D01492A"/>
    <w:rsid w:val="5D2252A3"/>
    <w:rsid w:val="5D2667F5"/>
    <w:rsid w:val="5D310ED7"/>
    <w:rsid w:val="5D355860"/>
    <w:rsid w:val="5D36056C"/>
    <w:rsid w:val="5D406F09"/>
    <w:rsid w:val="5D495CFE"/>
    <w:rsid w:val="5D5C7C44"/>
    <w:rsid w:val="5D734E56"/>
    <w:rsid w:val="5D7D5E0E"/>
    <w:rsid w:val="5D9316A5"/>
    <w:rsid w:val="5D9C190F"/>
    <w:rsid w:val="5DB1138B"/>
    <w:rsid w:val="5DB619E8"/>
    <w:rsid w:val="5DC75882"/>
    <w:rsid w:val="5DE4797B"/>
    <w:rsid w:val="5DE6427A"/>
    <w:rsid w:val="5E160087"/>
    <w:rsid w:val="5E1D51C7"/>
    <w:rsid w:val="5E3308A2"/>
    <w:rsid w:val="5E382E9C"/>
    <w:rsid w:val="5E3D2D5C"/>
    <w:rsid w:val="5E597218"/>
    <w:rsid w:val="5E607240"/>
    <w:rsid w:val="5E6301AB"/>
    <w:rsid w:val="5E7A20FA"/>
    <w:rsid w:val="5E972EC7"/>
    <w:rsid w:val="5E9E4667"/>
    <w:rsid w:val="5ECB28DF"/>
    <w:rsid w:val="5EF60C1C"/>
    <w:rsid w:val="5F147E07"/>
    <w:rsid w:val="5F3F4774"/>
    <w:rsid w:val="5F4B136B"/>
    <w:rsid w:val="5F887568"/>
    <w:rsid w:val="5F944FE5"/>
    <w:rsid w:val="5F996242"/>
    <w:rsid w:val="5F9C34CF"/>
    <w:rsid w:val="5FA647F3"/>
    <w:rsid w:val="5FB058C0"/>
    <w:rsid w:val="5FC52828"/>
    <w:rsid w:val="5FF12CB7"/>
    <w:rsid w:val="5FF9339D"/>
    <w:rsid w:val="60025ECE"/>
    <w:rsid w:val="6016160C"/>
    <w:rsid w:val="6026252E"/>
    <w:rsid w:val="604A0FC0"/>
    <w:rsid w:val="605C29E7"/>
    <w:rsid w:val="606F2948"/>
    <w:rsid w:val="607E5A53"/>
    <w:rsid w:val="60805044"/>
    <w:rsid w:val="609829AE"/>
    <w:rsid w:val="6098413C"/>
    <w:rsid w:val="60A34518"/>
    <w:rsid w:val="60B533FC"/>
    <w:rsid w:val="60E71ECF"/>
    <w:rsid w:val="60F25C64"/>
    <w:rsid w:val="61502C69"/>
    <w:rsid w:val="615C3B75"/>
    <w:rsid w:val="61634A96"/>
    <w:rsid w:val="61693EB7"/>
    <w:rsid w:val="616C4586"/>
    <w:rsid w:val="618574EF"/>
    <w:rsid w:val="61897F29"/>
    <w:rsid w:val="61922C2C"/>
    <w:rsid w:val="61B01959"/>
    <w:rsid w:val="61B076A7"/>
    <w:rsid w:val="61B431F8"/>
    <w:rsid w:val="61E15FB7"/>
    <w:rsid w:val="61E237E7"/>
    <w:rsid w:val="61F050AA"/>
    <w:rsid w:val="620121B5"/>
    <w:rsid w:val="62165F89"/>
    <w:rsid w:val="62181329"/>
    <w:rsid w:val="62361BC0"/>
    <w:rsid w:val="62600371"/>
    <w:rsid w:val="62647FA7"/>
    <w:rsid w:val="62662018"/>
    <w:rsid w:val="626970D8"/>
    <w:rsid w:val="626B7A9E"/>
    <w:rsid w:val="626F711E"/>
    <w:rsid w:val="628350AF"/>
    <w:rsid w:val="62917095"/>
    <w:rsid w:val="629B75A4"/>
    <w:rsid w:val="62AE1CFD"/>
    <w:rsid w:val="62AF0244"/>
    <w:rsid w:val="62B30528"/>
    <w:rsid w:val="62B31701"/>
    <w:rsid w:val="63071A4D"/>
    <w:rsid w:val="630A5099"/>
    <w:rsid w:val="631303F2"/>
    <w:rsid w:val="632679EE"/>
    <w:rsid w:val="632A1297"/>
    <w:rsid w:val="633914DA"/>
    <w:rsid w:val="633E4EB1"/>
    <w:rsid w:val="63402869"/>
    <w:rsid w:val="634126CF"/>
    <w:rsid w:val="634B549F"/>
    <w:rsid w:val="6353510B"/>
    <w:rsid w:val="635F0273"/>
    <w:rsid w:val="635F7375"/>
    <w:rsid w:val="63770981"/>
    <w:rsid w:val="638448A7"/>
    <w:rsid w:val="63864661"/>
    <w:rsid w:val="63912B14"/>
    <w:rsid w:val="63EE6DBE"/>
    <w:rsid w:val="64124205"/>
    <w:rsid w:val="641D655D"/>
    <w:rsid w:val="644055E3"/>
    <w:rsid w:val="644545DB"/>
    <w:rsid w:val="645224A9"/>
    <w:rsid w:val="645B3DFE"/>
    <w:rsid w:val="64694AED"/>
    <w:rsid w:val="64CA4EC2"/>
    <w:rsid w:val="64D140C0"/>
    <w:rsid w:val="64DF4A2F"/>
    <w:rsid w:val="64EC2CA8"/>
    <w:rsid w:val="64F86EC8"/>
    <w:rsid w:val="64FF16AF"/>
    <w:rsid w:val="653B778C"/>
    <w:rsid w:val="654900FB"/>
    <w:rsid w:val="655A4D8E"/>
    <w:rsid w:val="655A669E"/>
    <w:rsid w:val="655B2CBD"/>
    <w:rsid w:val="655B398A"/>
    <w:rsid w:val="657617E2"/>
    <w:rsid w:val="6576251B"/>
    <w:rsid w:val="658E6328"/>
    <w:rsid w:val="65962C14"/>
    <w:rsid w:val="65A911DD"/>
    <w:rsid w:val="65AB66C0"/>
    <w:rsid w:val="65AC2438"/>
    <w:rsid w:val="65D025CA"/>
    <w:rsid w:val="65E25C76"/>
    <w:rsid w:val="65E41BD1"/>
    <w:rsid w:val="65E6594A"/>
    <w:rsid w:val="65F06063"/>
    <w:rsid w:val="65F8742B"/>
    <w:rsid w:val="661651B5"/>
    <w:rsid w:val="661F0E5C"/>
    <w:rsid w:val="662B3C7C"/>
    <w:rsid w:val="663366B5"/>
    <w:rsid w:val="666D7E19"/>
    <w:rsid w:val="667216FA"/>
    <w:rsid w:val="668C0465"/>
    <w:rsid w:val="669F1064"/>
    <w:rsid w:val="66A31A8D"/>
    <w:rsid w:val="66A56C29"/>
    <w:rsid w:val="66AA193F"/>
    <w:rsid w:val="66BB5028"/>
    <w:rsid w:val="66D37353"/>
    <w:rsid w:val="66E0683D"/>
    <w:rsid w:val="67102E27"/>
    <w:rsid w:val="672A2D9B"/>
    <w:rsid w:val="67622DF5"/>
    <w:rsid w:val="67737607"/>
    <w:rsid w:val="67780823"/>
    <w:rsid w:val="677E4A3D"/>
    <w:rsid w:val="67900263"/>
    <w:rsid w:val="679F2119"/>
    <w:rsid w:val="67A704F3"/>
    <w:rsid w:val="67B16DEC"/>
    <w:rsid w:val="67B3300F"/>
    <w:rsid w:val="67D5211A"/>
    <w:rsid w:val="67D7383E"/>
    <w:rsid w:val="67D94545"/>
    <w:rsid w:val="67DA57C2"/>
    <w:rsid w:val="67EB51FC"/>
    <w:rsid w:val="682732A7"/>
    <w:rsid w:val="68273612"/>
    <w:rsid w:val="682E13BE"/>
    <w:rsid w:val="682E5386"/>
    <w:rsid w:val="683E1A6D"/>
    <w:rsid w:val="68524E43"/>
    <w:rsid w:val="68582421"/>
    <w:rsid w:val="685F2474"/>
    <w:rsid w:val="68682EB7"/>
    <w:rsid w:val="687E0F75"/>
    <w:rsid w:val="689D5018"/>
    <w:rsid w:val="68AC4F32"/>
    <w:rsid w:val="68B20A9E"/>
    <w:rsid w:val="68BA4E6C"/>
    <w:rsid w:val="68C901BB"/>
    <w:rsid w:val="68DC4DE2"/>
    <w:rsid w:val="68DE0B5A"/>
    <w:rsid w:val="68F4037D"/>
    <w:rsid w:val="69034A64"/>
    <w:rsid w:val="69206255"/>
    <w:rsid w:val="692A3D9F"/>
    <w:rsid w:val="692F7608"/>
    <w:rsid w:val="69456E2B"/>
    <w:rsid w:val="695D5F23"/>
    <w:rsid w:val="69613CB4"/>
    <w:rsid w:val="697238AA"/>
    <w:rsid w:val="69765746"/>
    <w:rsid w:val="69833542"/>
    <w:rsid w:val="69AE49D0"/>
    <w:rsid w:val="69CA13F4"/>
    <w:rsid w:val="69EA26B3"/>
    <w:rsid w:val="69EF33C0"/>
    <w:rsid w:val="69F05CE0"/>
    <w:rsid w:val="69F93837"/>
    <w:rsid w:val="6A0E546F"/>
    <w:rsid w:val="6A173B03"/>
    <w:rsid w:val="6A1D5C82"/>
    <w:rsid w:val="6A2B4273"/>
    <w:rsid w:val="6A321963"/>
    <w:rsid w:val="6A415844"/>
    <w:rsid w:val="6A4470E3"/>
    <w:rsid w:val="6A474A4C"/>
    <w:rsid w:val="6A49280C"/>
    <w:rsid w:val="6A6E2276"/>
    <w:rsid w:val="6A8B4D12"/>
    <w:rsid w:val="6A90057A"/>
    <w:rsid w:val="6A955B90"/>
    <w:rsid w:val="6A971908"/>
    <w:rsid w:val="6AC567E1"/>
    <w:rsid w:val="6AF13F41"/>
    <w:rsid w:val="6AFB3C45"/>
    <w:rsid w:val="6B0654D4"/>
    <w:rsid w:val="6B1265FB"/>
    <w:rsid w:val="6B1D005F"/>
    <w:rsid w:val="6B2A4022"/>
    <w:rsid w:val="6B407BD8"/>
    <w:rsid w:val="6B4355EC"/>
    <w:rsid w:val="6B5A3D3B"/>
    <w:rsid w:val="6B69318E"/>
    <w:rsid w:val="6B6C3996"/>
    <w:rsid w:val="6B7E2B1F"/>
    <w:rsid w:val="6BA001B4"/>
    <w:rsid w:val="6BAF58B8"/>
    <w:rsid w:val="6BBC3075"/>
    <w:rsid w:val="6BD04DDF"/>
    <w:rsid w:val="6C272818"/>
    <w:rsid w:val="6C3842A8"/>
    <w:rsid w:val="6C3F4006"/>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FD335E"/>
    <w:rsid w:val="6D254FA9"/>
    <w:rsid w:val="6D29299C"/>
    <w:rsid w:val="6D3276C6"/>
    <w:rsid w:val="6D5342F6"/>
    <w:rsid w:val="6D592EA5"/>
    <w:rsid w:val="6D8112C5"/>
    <w:rsid w:val="6D8E05A2"/>
    <w:rsid w:val="6D936D70"/>
    <w:rsid w:val="6D9B170F"/>
    <w:rsid w:val="6DA11374"/>
    <w:rsid w:val="6DAC7479"/>
    <w:rsid w:val="6DC01176"/>
    <w:rsid w:val="6DD0796C"/>
    <w:rsid w:val="6DD15131"/>
    <w:rsid w:val="6DD3085F"/>
    <w:rsid w:val="6E044771"/>
    <w:rsid w:val="6E116602"/>
    <w:rsid w:val="6E323894"/>
    <w:rsid w:val="6E402699"/>
    <w:rsid w:val="6E480D56"/>
    <w:rsid w:val="6E697118"/>
    <w:rsid w:val="6E8F5D83"/>
    <w:rsid w:val="6E95615F"/>
    <w:rsid w:val="6EBD1AB8"/>
    <w:rsid w:val="6ECF6B20"/>
    <w:rsid w:val="6ED87134"/>
    <w:rsid w:val="6ED9618E"/>
    <w:rsid w:val="6EDF0D92"/>
    <w:rsid w:val="6EE5485B"/>
    <w:rsid w:val="6F034CBF"/>
    <w:rsid w:val="6F1E7F02"/>
    <w:rsid w:val="6F4905AB"/>
    <w:rsid w:val="6F523AC2"/>
    <w:rsid w:val="6F6F69B0"/>
    <w:rsid w:val="6F7554FA"/>
    <w:rsid w:val="6F80296B"/>
    <w:rsid w:val="6F83245B"/>
    <w:rsid w:val="6F8A37EA"/>
    <w:rsid w:val="6FB42615"/>
    <w:rsid w:val="6FB81036"/>
    <w:rsid w:val="6FEA741D"/>
    <w:rsid w:val="6FFD3FBC"/>
    <w:rsid w:val="70001CFE"/>
    <w:rsid w:val="7000585A"/>
    <w:rsid w:val="70041D30"/>
    <w:rsid w:val="700C60B1"/>
    <w:rsid w:val="701D0900"/>
    <w:rsid w:val="701E7E11"/>
    <w:rsid w:val="702574A7"/>
    <w:rsid w:val="702F4391"/>
    <w:rsid w:val="704B653D"/>
    <w:rsid w:val="705102AC"/>
    <w:rsid w:val="7055204A"/>
    <w:rsid w:val="70553DF8"/>
    <w:rsid w:val="70555429"/>
    <w:rsid w:val="708244C1"/>
    <w:rsid w:val="70875F7B"/>
    <w:rsid w:val="708B3A87"/>
    <w:rsid w:val="709A7A5C"/>
    <w:rsid w:val="70A33082"/>
    <w:rsid w:val="70AE736D"/>
    <w:rsid w:val="70BD374B"/>
    <w:rsid w:val="70EC412D"/>
    <w:rsid w:val="711315BD"/>
    <w:rsid w:val="71551BD5"/>
    <w:rsid w:val="7156438B"/>
    <w:rsid w:val="715A2557"/>
    <w:rsid w:val="71676477"/>
    <w:rsid w:val="718A76FC"/>
    <w:rsid w:val="71AF446F"/>
    <w:rsid w:val="71C730E1"/>
    <w:rsid w:val="71EF3DD8"/>
    <w:rsid w:val="721455EC"/>
    <w:rsid w:val="7229553C"/>
    <w:rsid w:val="722D66AE"/>
    <w:rsid w:val="7251239D"/>
    <w:rsid w:val="7260196C"/>
    <w:rsid w:val="727268E0"/>
    <w:rsid w:val="727C634F"/>
    <w:rsid w:val="72A46F48"/>
    <w:rsid w:val="72A56887"/>
    <w:rsid w:val="72BA0B6E"/>
    <w:rsid w:val="72BE7080"/>
    <w:rsid w:val="72F41D22"/>
    <w:rsid w:val="73267CCD"/>
    <w:rsid w:val="734C3E6C"/>
    <w:rsid w:val="734E7A05"/>
    <w:rsid w:val="73591E51"/>
    <w:rsid w:val="735A6771"/>
    <w:rsid w:val="735F1AA0"/>
    <w:rsid w:val="73770529"/>
    <w:rsid w:val="737A6AC3"/>
    <w:rsid w:val="737D075C"/>
    <w:rsid w:val="739C3AEB"/>
    <w:rsid w:val="73AE6869"/>
    <w:rsid w:val="73B057E9"/>
    <w:rsid w:val="73C5064F"/>
    <w:rsid w:val="7409651C"/>
    <w:rsid w:val="74147B26"/>
    <w:rsid w:val="741A3431"/>
    <w:rsid w:val="74367A9C"/>
    <w:rsid w:val="74377EB7"/>
    <w:rsid w:val="7440479D"/>
    <w:rsid w:val="74455F31"/>
    <w:rsid w:val="745A5E80"/>
    <w:rsid w:val="745D14CD"/>
    <w:rsid w:val="74610332"/>
    <w:rsid w:val="747B1AED"/>
    <w:rsid w:val="7493355D"/>
    <w:rsid w:val="749A5433"/>
    <w:rsid w:val="749C0EB0"/>
    <w:rsid w:val="74A25132"/>
    <w:rsid w:val="74A964C0"/>
    <w:rsid w:val="74AA074C"/>
    <w:rsid w:val="74B80DF9"/>
    <w:rsid w:val="74C72A2B"/>
    <w:rsid w:val="750F2674"/>
    <w:rsid w:val="751A00A9"/>
    <w:rsid w:val="75390090"/>
    <w:rsid w:val="753A180E"/>
    <w:rsid w:val="753A3015"/>
    <w:rsid w:val="75472BD8"/>
    <w:rsid w:val="75662603"/>
    <w:rsid w:val="757345DF"/>
    <w:rsid w:val="75894140"/>
    <w:rsid w:val="759C1FD6"/>
    <w:rsid w:val="75A2437B"/>
    <w:rsid w:val="75A60C08"/>
    <w:rsid w:val="75C37324"/>
    <w:rsid w:val="75C86E1A"/>
    <w:rsid w:val="75D80A35"/>
    <w:rsid w:val="75F55735"/>
    <w:rsid w:val="75FE6CDF"/>
    <w:rsid w:val="760065B4"/>
    <w:rsid w:val="760805F4"/>
    <w:rsid w:val="760A6649"/>
    <w:rsid w:val="762914CB"/>
    <w:rsid w:val="763B583E"/>
    <w:rsid w:val="76415374"/>
    <w:rsid w:val="766670D0"/>
    <w:rsid w:val="76742AFE"/>
    <w:rsid w:val="769709D0"/>
    <w:rsid w:val="76A74C81"/>
    <w:rsid w:val="76CE7AD1"/>
    <w:rsid w:val="76D421B4"/>
    <w:rsid w:val="76F31E7A"/>
    <w:rsid w:val="76F83289"/>
    <w:rsid w:val="76F876DF"/>
    <w:rsid w:val="77007CDA"/>
    <w:rsid w:val="770837FD"/>
    <w:rsid w:val="77091498"/>
    <w:rsid w:val="770D18CD"/>
    <w:rsid w:val="77310D53"/>
    <w:rsid w:val="77333E74"/>
    <w:rsid w:val="774E334F"/>
    <w:rsid w:val="7766571B"/>
    <w:rsid w:val="776E579F"/>
    <w:rsid w:val="778209AD"/>
    <w:rsid w:val="77B70EF4"/>
    <w:rsid w:val="77FF0221"/>
    <w:rsid w:val="77FF289B"/>
    <w:rsid w:val="78016613"/>
    <w:rsid w:val="780A5CCC"/>
    <w:rsid w:val="780B2B61"/>
    <w:rsid w:val="781841F2"/>
    <w:rsid w:val="78200134"/>
    <w:rsid w:val="782347DB"/>
    <w:rsid w:val="78526E6F"/>
    <w:rsid w:val="78593D48"/>
    <w:rsid w:val="786A240A"/>
    <w:rsid w:val="786B5465"/>
    <w:rsid w:val="78BD1399"/>
    <w:rsid w:val="78E51A91"/>
    <w:rsid w:val="78E926E0"/>
    <w:rsid w:val="78EA52F9"/>
    <w:rsid w:val="78F65A4C"/>
    <w:rsid w:val="79030457"/>
    <w:rsid w:val="792A6003"/>
    <w:rsid w:val="79492020"/>
    <w:rsid w:val="794B223C"/>
    <w:rsid w:val="79596BB6"/>
    <w:rsid w:val="79713215"/>
    <w:rsid w:val="798F4904"/>
    <w:rsid w:val="799D670D"/>
    <w:rsid w:val="79A7404E"/>
    <w:rsid w:val="79A84045"/>
    <w:rsid w:val="79C30024"/>
    <w:rsid w:val="79DA7E36"/>
    <w:rsid w:val="79F301DD"/>
    <w:rsid w:val="79FE105C"/>
    <w:rsid w:val="7A0E456C"/>
    <w:rsid w:val="7A1B7E60"/>
    <w:rsid w:val="7A2B1A67"/>
    <w:rsid w:val="7A3E3B4E"/>
    <w:rsid w:val="7A4A24F3"/>
    <w:rsid w:val="7A5173D7"/>
    <w:rsid w:val="7A560E98"/>
    <w:rsid w:val="7A637111"/>
    <w:rsid w:val="7A6730A5"/>
    <w:rsid w:val="7A777060"/>
    <w:rsid w:val="7A811C8D"/>
    <w:rsid w:val="7AB41BCC"/>
    <w:rsid w:val="7AB636E5"/>
    <w:rsid w:val="7ABA3AA8"/>
    <w:rsid w:val="7AD24297"/>
    <w:rsid w:val="7AD85BCB"/>
    <w:rsid w:val="7AE02768"/>
    <w:rsid w:val="7AE069B4"/>
    <w:rsid w:val="7AED10D1"/>
    <w:rsid w:val="7B0B4F4E"/>
    <w:rsid w:val="7B0C59FB"/>
    <w:rsid w:val="7B16616D"/>
    <w:rsid w:val="7B400342"/>
    <w:rsid w:val="7B5E46A1"/>
    <w:rsid w:val="7B75495B"/>
    <w:rsid w:val="7B842755"/>
    <w:rsid w:val="7B915F00"/>
    <w:rsid w:val="7B98103C"/>
    <w:rsid w:val="7B9C0261"/>
    <w:rsid w:val="7BA14395"/>
    <w:rsid w:val="7BC31773"/>
    <w:rsid w:val="7BCE579E"/>
    <w:rsid w:val="7BDA1B76"/>
    <w:rsid w:val="7BE82F8F"/>
    <w:rsid w:val="7BE966E3"/>
    <w:rsid w:val="7BEB41C7"/>
    <w:rsid w:val="7BED75DA"/>
    <w:rsid w:val="7C094BFB"/>
    <w:rsid w:val="7C0D5378"/>
    <w:rsid w:val="7C15268D"/>
    <w:rsid w:val="7C16611A"/>
    <w:rsid w:val="7C1D7794"/>
    <w:rsid w:val="7C266648"/>
    <w:rsid w:val="7C2B1EB0"/>
    <w:rsid w:val="7C305719"/>
    <w:rsid w:val="7C506DEC"/>
    <w:rsid w:val="7C777E09"/>
    <w:rsid w:val="7C990EA1"/>
    <w:rsid w:val="7CA9293A"/>
    <w:rsid w:val="7CB77BE8"/>
    <w:rsid w:val="7CC05DA9"/>
    <w:rsid w:val="7CF57024"/>
    <w:rsid w:val="7CF6426C"/>
    <w:rsid w:val="7D21734E"/>
    <w:rsid w:val="7D284642"/>
    <w:rsid w:val="7D382AD7"/>
    <w:rsid w:val="7D3E0ACF"/>
    <w:rsid w:val="7D7F5B17"/>
    <w:rsid w:val="7D840CC5"/>
    <w:rsid w:val="7D8A0C03"/>
    <w:rsid w:val="7D8C6BBD"/>
    <w:rsid w:val="7D9931BD"/>
    <w:rsid w:val="7D9C2DC9"/>
    <w:rsid w:val="7DA65205"/>
    <w:rsid w:val="7DA93EBE"/>
    <w:rsid w:val="7DB14637"/>
    <w:rsid w:val="7E1E3A2E"/>
    <w:rsid w:val="7E3A23D1"/>
    <w:rsid w:val="7E555BD1"/>
    <w:rsid w:val="7E7324B4"/>
    <w:rsid w:val="7E747B3F"/>
    <w:rsid w:val="7E754607"/>
    <w:rsid w:val="7E7A2918"/>
    <w:rsid w:val="7E837D82"/>
    <w:rsid w:val="7EA131CA"/>
    <w:rsid w:val="7EB005FA"/>
    <w:rsid w:val="7EB81E63"/>
    <w:rsid w:val="7EBB39C0"/>
    <w:rsid w:val="7EC531D7"/>
    <w:rsid w:val="7EFE4293"/>
    <w:rsid w:val="7F060D40"/>
    <w:rsid w:val="7F091139"/>
    <w:rsid w:val="7F266502"/>
    <w:rsid w:val="7F2B4732"/>
    <w:rsid w:val="7F2B66C5"/>
    <w:rsid w:val="7F2D1E7F"/>
    <w:rsid w:val="7F2F3A66"/>
    <w:rsid w:val="7F2F7F0A"/>
    <w:rsid w:val="7F34107C"/>
    <w:rsid w:val="7F3670CE"/>
    <w:rsid w:val="7F3948E4"/>
    <w:rsid w:val="7F47412F"/>
    <w:rsid w:val="7F480FCB"/>
    <w:rsid w:val="7F5D4A77"/>
    <w:rsid w:val="7F932970"/>
    <w:rsid w:val="7FAB3A34"/>
    <w:rsid w:val="7FD85EAB"/>
    <w:rsid w:val="7FDD1714"/>
    <w:rsid w:val="7FF32CE5"/>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37"/>
    <w:autoRedefine/>
    <w:qFormat/>
    <w:uiPriority w:val="0"/>
    <w:pPr>
      <w:keepNext/>
      <w:keepLines/>
      <w:spacing w:before="340" w:after="330" w:line="578" w:lineRule="auto"/>
      <w:outlineLvl w:val="0"/>
    </w:pPr>
    <w:rPr>
      <w:b/>
      <w:bCs/>
      <w:kern w:val="44"/>
      <w:sz w:val="44"/>
      <w:szCs w:val="44"/>
    </w:rPr>
  </w:style>
  <w:style w:type="paragraph" w:styleId="2">
    <w:name w:val="heading 2"/>
    <w:basedOn w:val="1"/>
    <w:next w:val="1"/>
    <w:autoRedefine/>
    <w:unhideWhenUsed/>
    <w:qFormat/>
    <w:uiPriority w:val="0"/>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character" w:default="1" w:styleId="17">
    <w:name w:val="Default Paragraph Font"/>
    <w:autoRedefine/>
    <w:semiHidden/>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5"/>
    <w:autoRedefine/>
    <w:qFormat/>
    <w:uiPriority w:val="0"/>
    <w:pPr>
      <w:jc w:val="left"/>
    </w:pPr>
  </w:style>
  <w:style w:type="paragraph" w:styleId="6">
    <w:name w:val="Plain Text"/>
    <w:basedOn w:val="1"/>
    <w:qFormat/>
    <w:uiPriority w:val="0"/>
    <w:rPr>
      <w:rFonts w:ascii="宋体" w:hAnsi="Courier New"/>
    </w:rPr>
  </w:style>
  <w:style w:type="paragraph" w:styleId="7">
    <w:name w:val="Body Text Indent 2"/>
    <w:basedOn w:val="1"/>
    <w:link w:val="38"/>
    <w:autoRedefine/>
    <w:qFormat/>
    <w:uiPriority w:val="99"/>
    <w:pPr>
      <w:ind w:firstLine="560"/>
    </w:pPr>
    <w:rPr>
      <w:rFonts w:ascii="Times New Roman" w:hAnsi="Times New Roman" w:eastAsia="汉仪粗仿宋简"/>
      <w:sz w:val="28"/>
      <w:szCs w:val="28"/>
    </w:rPr>
  </w:style>
  <w:style w:type="paragraph" w:styleId="8">
    <w:name w:val="Balloon Text"/>
    <w:basedOn w:val="1"/>
    <w:link w:val="34"/>
    <w:autoRedefine/>
    <w:qFormat/>
    <w:uiPriority w:val="0"/>
    <w:rPr>
      <w:sz w:val="18"/>
      <w:szCs w:val="18"/>
    </w:rPr>
  </w:style>
  <w:style w:type="paragraph" w:styleId="9">
    <w:name w:val="footer"/>
    <w:basedOn w:val="1"/>
    <w:link w:val="23"/>
    <w:autoRedefine/>
    <w:qFormat/>
    <w:uiPriority w:val="0"/>
    <w:pPr>
      <w:tabs>
        <w:tab w:val="center" w:pos="4153"/>
        <w:tab w:val="right" w:pos="8306"/>
      </w:tabs>
      <w:snapToGrid w:val="0"/>
      <w:jc w:val="left"/>
    </w:pPr>
    <w:rPr>
      <w:sz w:val="18"/>
      <w:szCs w:val="18"/>
    </w:rPr>
  </w:style>
  <w:style w:type="paragraph" w:styleId="10">
    <w:name w:val="header"/>
    <w:basedOn w:val="1"/>
    <w:link w:val="22"/>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0"/>
  </w:style>
  <w:style w:type="paragraph" w:styleId="12">
    <w:name w:val="toc 2"/>
    <w:basedOn w:val="1"/>
    <w:next w:val="1"/>
    <w:autoRedefine/>
    <w:qFormat/>
    <w:uiPriority w:val="0"/>
    <w:pPr>
      <w:ind w:left="420" w:leftChars="200"/>
    </w:pPr>
  </w:style>
  <w:style w:type="paragraph" w:styleId="13">
    <w:name w:val="Normal (Web)"/>
    <w:basedOn w:val="1"/>
    <w:autoRedefine/>
    <w:qFormat/>
    <w:uiPriority w:val="0"/>
    <w:rPr>
      <w:sz w:val="24"/>
    </w:rPr>
  </w:style>
  <w:style w:type="paragraph" w:styleId="14">
    <w:name w:val="annotation subject"/>
    <w:basedOn w:val="5"/>
    <w:next w:val="5"/>
    <w:link w:val="36"/>
    <w:autoRedefine/>
    <w:qFormat/>
    <w:uiPriority w:val="0"/>
    <w:rPr>
      <w:b/>
      <w:bCs/>
    </w:rPr>
  </w:style>
  <w:style w:type="table" w:styleId="16">
    <w:name w:val="Table Grid"/>
    <w:basedOn w:val="15"/>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autoRedefine/>
    <w:qFormat/>
    <w:uiPriority w:val="0"/>
    <w:rPr>
      <w:b/>
    </w:rPr>
  </w:style>
  <w:style w:type="character" w:styleId="19">
    <w:name w:val="Hyperlink"/>
    <w:basedOn w:val="17"/>
    <w:autoRedefine/>
    <w:qFormat/>
    <w:uiPriority w:val="0"/>
    <w:rPr>
      <w:color w:val="0000FF"/>
      <w:u w:val="single"/>
    </w:rPr>
  </w:style>
  <w:style w:type="character" w:styleId="20">
    <w:name w:val="annotation reference"/>
    <w:basedOn w:val="17"/>
    <w:autoRedefine/>
    <w:qFormat/>
    <w:uiPriority w:val="0"/>
    <w:rPr>
      <w:sz w:val="21"/>
      <w:szCs w:val="21"/>
    </w:rPr>
  </w:style>
  <w:style w:type="paragraph" w:customStyle="1" w:styleId="21">
    <w:name w:val="表格2"/>
    <w:link w:val="24"/>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2">
    <w:name w:val="页眉 字符"/>
    <w:basedOn w:val="17"/>
    <w:link w:val="10"/>
    <w:autoRedefine/>
    <w:qFormat/>
    <w:uiPriority w:val="0"/>
    <w:rPr>
      <w:kern w:val="2"/>
      <w:sz w:val="18"/>
      <w:szCs w:val="18"/>
    </w:rPr>
  </w:style>
  <w:style w:type="character" w:customStyle="1" w:styleId="23">
    <w:name w:val="页脚 字符"/>
    <w:basedOn w:val="17"/>
    <w:link w:val="9"/>
    <w:autoRedefine/>
    <w:qFormat/>
    <w:uiPriority w:val="0"/>
    <w:rPr>
      <w:kern w:val="2"/>
      <w:sz w:val="18"/>
      <w:szCs w:val="18"/>
    </w:rPr>
  </w:style>
  <w:style w:type="character" w:customStyle="1" w:styleId="24">
    <w:name w:val="表格2 Char"/>
    <w:link w:val="21"/>
    <w:autoRedefine/>
    <w:qFormat/>
    <w:uiPriority w:val="0"/>
    <w:rPr>
      <w:rFonts w:ascii="Calibri" w:hAnsi="Calibri" w:eastAsia="宋体" w:cs="Times New Roman"/>
      <w:kern w:val="2"/>
      <w:sz w:val="21"/>
      <w:szCs w:val="22"/>
    </w:rPr>
  </w:style>
  <w:style w:type="paragraph" w:styleId="25">
    <w:name w:val="List Paragraph"/>
    <w:basedOn w:val="1"/>
    <w:autoRedefine/>
    <w:qFormat/>
    <w:uiPriority w:val="99"/>
    <w:pPr>
      <w:ind w:firstLine="420" w:firstLineChars="200"/>
    </w:pPr>
  </w:style>
  <w:style w:type="paragraph" w:customStyle="1" w:styleId="26">
    <w:name w:val="表格中的样式"/>
    <w:basedOn w:val="1"/>
    <w:link w:val="27"/>
    <w:autoRedefine/>
    <w:qFormat/>
    <w:uiPriority w:val="0"/>
    <w:pPr>
      <w:jc w:val="left"/>
    </w:pPr>
    <w:rPr>
      <w:rFonts w:ascii="宋体" w:hAnsi="宋体"/>
      <w:szCs w:val="21"/>
    </w:rPr>
  </w:style>
  <w:style w:type="character" w:customStyle="1" w:styleId="27">
    <w:name w:val="表格中的样式 Char"/>
    <w:basedOn w:val="17"/>
    <w:link w:val="26"/>
    <w:autoRedefine/>
    <w:qFormat/>
    <w:uiPriority w:val="0"/>
    <w:rPr>
      <w:rFonts w:ascii="宋体" w:hAnsi="宋体"/>
      <w:kern w:val="2"/>
      <w:sz w:val="21"/>
      <w:szCs w:val="21"/>
    </w:rPr>
  </w:style>
  <w:style w:type="character" w:customStyle="1" w:styleId="28">
    <w:name w:val="表格样式 Char"/>
    <w:link w:val="29"/>
    <w:autoRedefine/>
    <w:qFormat/>
    <w:uiPriority w:val="0"/>
    <w:rPr>
      <w:rFonts w:ascii="宋体" w:hAnsi="宋体" w:eastAsia="宋体"/>
      <w:szCs w:val="21"/>
      <w:lang w:eastAsia="en-US" w:bidi="en-US"/>
    </w:rPr>
  </w:style>
  <w:style w:type="paragraph" w:customStyle="1" w:styleId="29">
    <w:name w:val="表格样式"/>
    <w:basedOn w:val="1"/>
    <w:link w:val="28"/>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30">
    <w:name w:val="标题二2（楷体标题）"/>
    <w:basedOn w:val="1"/>
    <w:autoRedefine/>
    <w:qFormat/>
    <w:uiPriority w:val="0"/>
    <w:pPr>
      <w:spacing w:line="560" w:lineRule="exact"/>
      <w:jc w:val="center"/>
    </w:pPr>
    <w:rPr>
      <w:rFonts w:ascii="宋体" w:hAnsi="宋体" w:cs="宋体"/>
      <w:sz w:val="28"/>
      <w:szCs w:val="28"/>
    </w:rPr>
  </w:style>
  <w:style w:type="character" w:customStyle="1" w:styleId="31">
    <w:name w:val="fontstyle01"/>
    <w:autoRedefine/>
    <w:qFormat/>
    <w:uiPriority w:val="0"/>
    <w:rPr>
      <w:rFonts w:hint="default" w:ascii="FZSSK--GBK1-0" w:hAnsi="FZSSK--GBK1-0"/>
      <w:color w:val="000000"/>
      <w:sz w:val="24"/>
      <w:szCs w:val="24"/>
    </w:rPr>
  </w:style>
  <w:style w:type="character" w:customStyle="1" w:styleId="32">
    <w:name w:val="font31"/>
    <w:basedOn w:val="17"/>
    <w:autoRedefine/>
    <w:qFormat/>
    <w:uiPriority w:val="0"/>
    <w:rPr>
      <w:rFonts w:hint="default" w:ascii="仿宋_GB2312" w:eastAsia="仿宋_GB2312" w:cs="仿宋_GB2312"/>
      <w:color w:val="000000"/>
      <w:sz w:val="21"/>
      <w:szCs w:val="21"/>
      <w:u w:val="none"/>
    </w:rPr>
  </w:style>
  <w:style w:type="character" w:customStyle="1" w:styleId="33">
    <w:name w:val="font81"/>
    <w:basedOn w:val="17"/>
    <w:autoRedefine/>
    <w:qFormat/>
    <w:uiPriority w:val="0"/>
    <w:rPr>
      <w:rFonts w:hint="default" w:ascii="仿宋_GB2312" w:eastAsia="仿宋_GB2312" w:cs="仿宋_GB2312"/>
      <w:color w:val="000000"/>
      <w:sz w:val="20"/>
      <w:szCs w:val="20"/>
      <w:u w:val="none"/>
    </w:rPr>
  </w:style>
  <w:style w:type="character" w:customStyle="1" w:styleId="34">
    <w:name w:val="批注框文本 字符"/>
    <w:basedOn w:val="17"/>
    <w:link w:val="8"/>
    <w:autoRedefine/>
    <w:qFormat/>
    <w:uiPriority w:val="0"/>
    <w:rPr>
      <w:rFonts w:asciiTheme="minorHAnsi" w:hAnsiTheme="minorHAnsi" w:eastAsiaTheme="minorEastAsia" w:cstheme="minorBidi"/>
      <w:kern w:val="2"/>
      <w:sz w:val="18"/>
      <w:szCs w:val="18"/>
    </w:rPr>
  </w:style>
  <w:style w:type="character" w:customStyle="1" w:styleId="35">
    <w:name w:val="批注文字 字符"/>
    <w:basedOn w:val="17"/>
    <w:link w:val="5"/>
    <w:autoRedefine/>
    <w:qFormat/>
    <w:uiPriority w:val="0"/>
    <w:rPr>
      <w:rFonts w:asciiTheme="minorHAnsi" w:hAnsiTheme="minorHAnsi" w:eastAsiaTheme="minorEastAsia" w:cstheme="minorBidi"/>
      <w:kern w:val="2"/>
      <w:sz w:val="21"/>
      <w:szCs w:val="24"/>
    </w:rPr>
  </w:style>
  <w:style w:type="character" w:customStyle="1" w:styleId="36">
    <w:name w:val="批注主题 字符"/>
    <w:basedOn w:val="35"/>
    <w:link w:val="14"/>
    <w:autoRedefine/>
    <w:qFormat/>
    <w:uiPriority w:val="0"/>
    <w:rPr>
      <w:rFonts w:asciiTheme="minorHAnsi" w:hAnsiTheme="minorHAnsi" w:eastAsiaTheme="minorEastAsia" w:cstheme="minorBidi"/>
      <w:b/>
      <w:bCs/>
      <w:kern w:val="2"/>
      <w:sz w:val="21"/>
      <w:szCs w:val="24"/>
    </w:rPr>
  </w:style>
  <w:style w:type="character" w:customStyle="1" w:styleId="37">
    <w:name w:val="标题 1 字符"/>
    <w:basedOn w:val="17"/>
    <w:link w:val="3"/>
    <w:autoRedefine/>
    <w:qFormat/>
    <w:uiPriority w:val="0"/>
    <w:rPr>
      <w:rFonts w:asciiTheme="minorHAnsi" w:hAnsiTheme="minorHAnsi" w:eastAsiaTheme="minorEastAsia" w:cstheme="minorBidi"/>
      <w:b/>
      <w:bCs/>
      <w:kern w:val="44"/>
      <w:sz w:val="44"/>
      <w:szCs w:val="44"/>
    </w:rPr>
  </w:style>
  <w:style w:type="character" w:customStyle="1" w:styleId="38">
    <w:name w:val="正文文本缩进 2 字符"/>
    <w:basedOn w:val="17"/>
    <w:link w:val="7"/>
    <w:autoRedefine/>
    <w:qFormat/>
    <w:uiPriority w:val="0"/>
    <w:rPr>
      <w:kern w:val="2"/>
      <w:sz w:val="21"/>
      <w:szCs w:val="24"/>
    </w:rPr>
  </w:style>
  <w:style w:type="paragraph" w:customStyle="1" w:styleId="39">
    <w:name w:val="表格"/>
    <w:basedOn w:val="1"/>
    <w:autoRedefine/>
    <w:qFormat/>
    <w:uiPriority w:val="0"/>
  </w:style>
  <w:style w:type="paragraph" w:customStyle="1" w:styleId="40">
    <w:name w:val="表头图号"/>
    <w:basedOn w:val="1"/>
    <w:next w:val="1"/>
    <w:autoRedefine/>
    <w:qFormat/>
    <w:uiPriority w:val="0"/>
    <w:pPr>
      <w:ind w:firstLine="422"/>
      <w:jc w:val="center"/>
    </w:pPr>
    <w:rPr>
      <w:rFonts w:asciiTheme="minorEastAsia" w:hAnsiTheme="minorEastAsia"/>
      <w:b/>
      <w:sz w:val="28"/>
      <w:szCs w:val="28"/>
    </w:rPr>
  </w:style>
  <w:style w:type="character" w:customStyle="1" w:styleId="41">
    <w:name w:val="font21"/>
    <w:basedOn w:val="17"/>
    <w:autoRedefine/>
    <w:qFormat/>
    <w:uiPriority w:val="0"/>
    <w:rPr>
      <w:rFonts w:hint="eastAsia" w:ascii="仿宋_GB2312" w:eastAsia="仿宋_GB2312" w:cs="仿宋_GB2312"/>
      <w:b/>
      <w:bCs/>
      <w:color w:val="000000"/>
      <w:sz w:val="21"/>
      <w:szCs w:val="21"/>
      <w:u w:val="none"/>
    </w:rPr>
  </w:style>
  <w:style w:type="character" w:customStyle="1" w:styleId="42">
    <w:name w:val="font41"/>
    <w:basedOn w:val="17"/>
    <w:autoRedefine/>
    <w:qFormat/>
    <w:uiPriority w:val="0"/>
    <w:rPr>
      <w:rFonts w:hint="eastAsia" w:ascii="仿宋_GB2312" w:eastAsia="仿宋_GB2312" w:cs="仿宋_GB2312"/>
      <w:color w:val="000000"/>
      <w:sz w:val="21"/>
      <w:szCs w:val="21"/>
      <w:u w:val="none"/>
    </w:rPr>
  </w:style>
  <w:style w:type="character" w:customStyle="1" w:styleId="43">
    <w:name w:val="font71"/>
    <w:basedOn w:val="17"/>
    <w:autoRedefine/>
    <w:qFormat/>
    <w:uiPriority w:val="0"/>
    <w:rPr>
      <w:rFonts w:hint="eastAsia" w:ascii="仿宋_GB2312" w:eastAsia="仿宋_GB2312" w:cs="仿宋_GB2312"/>
      <w:color w:val="000000"/>
      <w:sz w:val="20"/>
      <w:szCs w:val="20"/>
      <w:u w:val="none"/>
    </w:rPr>
  </w:style>
  <w:style w:type="character" w:customStyle="1" w:styleId="44">
    <w:name w:val="font51"/>
    <w:basedOn w:val="17"/>
    <w:autoRedefine/>
    <w:qFormat/>
    <w:uiPriority w:val="0"/>
    <w:rPr>
      <w:rFonts w:hint="eastAsia" w:ascii="仿宋_GB2312" w:eastAsia="仿宋_GB2312" w:cs="仿宋_GB2312"/>
      <w:color w:val="000000"/>
      <w:sz w:val="21"/>
      <w:szCs w:val="21"/>
      <w:u w:val="none"/>
    </w:rPr>
  </w:style>
  <w:style w:type="character" w:customStyle="1" w:styleId="45">
    <w:name w:val="font11"/>
    <w:basedOn w:val="17"/>
    <w:autoRedefine/>
    <w:qFormat/>
    <w:uiPriority w:val="0"/>
    <w:rPr>
      <w:rFonts w:hint="eastAsia" w:ascii="仿宋_GB2312" w:eastAsia="仿宋_GB2312" w:cs="仿宋_GB2312"/>
      <w:color w:val="000000"/>
      <w:sz w:val="21"/>
      <w:szCs w:val="21"/>
      <w:u w:val="none"/>
    </w:rPr>
  </w:style>
  <w:style w:type="paragraph" w:customStyle="1" w:styleId="4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paragraph" w:customStyle="1" w:styleId="47">
    <w:name w:val="表格标题"/>
    <w:basedOn w:val="1"/>
    <w:autoRedefine/>
    <w:qFormat/>
    <w:uiPriority w:val="0"/>
    <w:pPr>
      <w:widowControl/>
      <w:spacing w:line="240" w:lineRule="auto"/>
      <w:ind w:firstLine="0" w:firstLineChars="0"/>
      <w:jc w:val="center"/>
      <w:textAlignment w:val="center"/>
    </w:pPr>
    <w:rPr>
      <w:rFonts w:hint="eastAsia" w:ascii="仿宋" w:hAnsi="仿宋" w:cs="仿宋"/>
      <w:b/>
      <w:color w:val="auto"/>
      <w:kern w:val="0"/>
      <w:sz w:val="21"/>
      <w:szCs w:val="20"/>
      <w:u w:val="none"/>
      <w:lang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image" Target="media/image3.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Template>
  <Pages>53</Pages>
  <Words>1697</Words>
  <Characters>1798</Characters>
  <Lines>141</Lines>
  <Paragraphs>39</Paragraphs>
  <TotalTime>1</TotalTime>
  <ScaleCrop>false</ScaleCrop>
  <LinksUpToDate>false</LinksUpToDate>
  <CharactersWithSpaces>1900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2025-09-05T03:18:44Z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249986807BBA47CDBED775DCF6B0EFCC_13</vt:lpwstr>
  </property>
  <property fmtid="{D5CDD505-2E9C-101B-9397-08002B2CF9AE}" pid="4" name="KSOTemplateDocerSaveRecord">
    <vt:lpwstr>eyJoZGlkIjoiYjRiNjlhNjk2MWY1ZTgzZGJlMGUwZjVkMDJjMDE3ZjEiLCJ1c2VySWQiOiIyNjY2NzkxMDgifQ==</vt:lpwstr>
  </property>
</Properties>
</file>