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96" w:lineRule="exact"/>
        <w:rPr>
          <w:rFonts w:ascii="方正小标宋简体" w:hAnsi="华文宋体" w:eastAsia="方正小标宋简体" w:cs="Times New Roman"/>
          <w:b/>
          <w:sz w:val="44"/>
          <w:szCs w:val="44"/>
        </w:rPr>
      </w:pPr>
      <w:r>
        <w:rPr>
          <w:rFonts w:hint="eastAsia" w:ascii="方正小标宋简体" w:hAnsi="华文宋体" w:eastAsia="方正小标宋简体" w:cs="Times New Roman"/>
          <w:b/>
          <w:sz w:val="44"/>
          <w:szCs w:val="44"/>
        </w:rPr>
        <w:drawing>
          <wp:anchor distT="0" distB="0" distL="114300" distR="114300" simplePos="0" relativeHeight="251661312" behindDoc="1" locked="0" layoutInCell="1" allowOverlap="1">
            <wp:simplePos x="0" y="0"/>
            <wp:positionH relativeFrom="column">
              <wp:posOffset>-127635</wp:posOffset>
            </wp:positionH>
            <wp:positionV relativeFrom="paragraph">
              <wp:posOffset>84455</wp:posOffset>
            </wp:positionV>
            <wp:extent cx="3147695" cy="558165"/>
            <wp:effectExtent l="0" t="0" r="5080" b="3810"/>
            <wp:wrapNone/>
            <wp:docPr id="4" name="图片 4" descr="488c04306f9bdff372e219bccc37b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88c04306f9bdff372e219bccc37bba"/>
                    <pic:cNvPicPr>
                      <a:picLocks noChangeAspect="1"/>
                    </pic:cNvPicPr>
                  </pic:nvPicPr>
                  <pic:blipFill>
                    <a:blip r:embed="rId9"/>
                    <a:stretch>
                      <a:fillRect/>
                    </a:stretch>
                  </pic:blipFill>
                  <pic:spPr>
                    <a:xfrm>
                      <a:off x="0" y="0"/>
                      <a:ext cx="3147695" cy="558165"/>
                    </a:xfrm>
                    <a:prstGeom prst="rect">
                      <a:avLst/>
                    </a:prstGeom>
                  </pic:spPr>
                </pic:pic>
              </a:graphicData>
            </a:graphic>
          </wp:anchor>
        </w:drawing>
      </w:r>
    </w:p>
    <w:p>
      <w:pPr>
        <w:spacing w:line="596" w:lineRule="exact"/>
        <w:ind w:firstLine="883"/>
        <w:jc w:val="center"/>
        <w:rPr>
          <w:rFonts w:ascii="方正小标宋简体" w:hAnsi="华文宋体" w:eastAsia="方正小标宋简体" w:cs="Times New Roman"/>
          <w:b/>
          <w:sz w:val="44"/>
          <w:szCs w:val="44"/>
        </w:rPr>
      </w:pPr>
    </w:p>
    <w:p>
      <w:pPr>
        <w:spacing w:line="596" w:lineRule="exact"/>
        <w:ind w:firstLine="883"/>
        <w:jc w:val="center"/>
        <w:rPr>
          <w:rFonts w:ascii="方正小标宋简体" w:hAnsi="华文宋体" w:eastAsia="方正小标宋简体" w:cs="Times New Roman"/>
          <w:b/>
          <w:sz w:val="44"/>
          <w:szCs w:val="44"/>
        </w:rPr>
      </w:pPr>
    </w:p>
    <w:p>
      <w:pPr>
        <w:spacing w:line="596" w:lineRule="exact"/>
        <w:ind w:firstLine="883"/>
        <w:jc w:val="center"/>
        <w:rPr>
          <w:rFonts w:ascii="方正小标宋简体" w:hAnsi="华文宋体" w:eastAsia="方正小标宋简体" w:cs="Times New Roman"/>
          <w:b/>
          <w:sz w:val="44"/>
          <w:szCs w:val="44"/>
        </w:rPr>
      </w:pPr>
    </w:p>
    <w:p>
      <w:pPr>
        <w:spacing w:line="596" w:lineRule="exact"/>
        <w:ind w:firstLine="883"/>
        <w:jc w:val="center"/>
        <w:rPr>
          <w:rFonts w:ascii="方正小标宋简体" w:hAnsi="华文宋体" w:eastAsia="方正小标宋简体" w:cs="Times New Roman"/>
          <w:b/>
          <w:sz w:val="44"/>
          <w:szCs w:val="44"/>
        </w:rPr>
      </w:pPr>
    </w:p>
    <w:p>
      <w:pPr>
        <w:spacing w:line="596" w:lineRule="exact"/>
        <w:rPr>
          <w:rFonts w:ascii="方正小标宋简体" w:hAnsi="华文宋体" w:eastAsia="方正小标宋简体" w:cs="Times New Roman"/>
          <w:b/>
          <w:sz w:val="44"/>
          <w:szCs w:val="44"/>
        </w:rPr>
      </w:pPr>
    </w:p>
    <w:p>
      <w:pPr>
        <w:spacing w:line="596" w:lineRule="exact"/>
        <w:rPr>
          <w:rFonts w:ascii="方正小标宋简体" w:hAnsi="华文宋体" w:eastAsia="方正小标宋简体" w:cs="Times New Roman"/>
          <w:b/>
          <w:sz w:val="44"/>
          <w:szCs w:val="44"/>
        </w:rPr>
      </w:pPr>
    </w:p>
    <w:p>
      <w:pPr>
        <w:spacing w:line="240" w:lineRule="auto"/>
        <w:ind w:firstLine="0" w:firstLineChars="0"/>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202</w:t>
      </w:r>
      <w:r>
        <w:rPr>
          <w:rFonts w:hint="eastAsia" w:ascii="方正小标宋简体" w:hAnsi="方正小标宋简体" w:eastAsia="方正小标宋简体" w:cs="方正小标宋简体"/>
          <w:b/>
          <w:bCs/>
          <w:sz w:val="52"/>
          <w:szCs w:val="52"/>
          <w:lang w:val="en-US" w:eastAsia="zh-CN"/>
        </w:rPr>
        <w:t>5</w:t>
      </w:r>
      <w:r>
        <w:rPr>
          <w:rFonts w:hint="eastAsia" w:ascii="方正小标宋简体" w:hAnsi="方正小标宋简体" w:eastAsia="方正小标宋简体" w:cs="方正小标宋简体"/>
          <w:b/>
          <w:bCs/>
          <w:sz w:val="52"/>
          <w:szCs w:val="52"/>
        </w:rPr>
        <w:t>级本科层次职业教育</w:t>
      </w:r>
    </w:p>
    <w:p>
      <w:pPr>
        <w:spacing w:line="240" w:lineRule="auto"/>
        <w:ind w:firstLine="0" w:firstLineChars="0"/>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lang w:val="en-US" w:eastAsia="zh-CN"/>
        </w:rPr>
        <w:t>装备智能化技术</w:t>
      </w:r>
      <w:r>
        <w:rPr>
          <w:rFonts w:hint="eastAsia" w:ascii="方正小标宋简体" w:hAnsi="方正小标宋简体" w:eastAsia="方正小标宋简体" w:cs="方正小标宋简体"/>
          <w:b/>
          <w:bCs/>
          <w:sz w:val="52"/>
          <w:szCs w:val="52"/>
        </w:rPr>
        <w:t>专业</w:t>
      </w:r>
      <w:bookmarkStart w:id="0" w:name="_Toc25217"/>
    </w:p>
    <w:p>
      <w:pPr>
        <w:spacing w:line="240" w:lineRule="auto"/>
        <w:ind w:firstLine="0" w:firstLineChars="0"/>
        <w:jc w:val="center"/>
        <w:rPr>
          <w:rFonts w:hint="eastAsia" w:ascii="方正小标宋简体" w:hAnsi="方正小标宋简体" w:eastAsia="方正小标宋简体" w:cs="方正小标宋简体"/>
          <w:b/>
          <w:bCs/>
          <w:sz w:val="52"/>
          <w:szCs w:val="52"/>
        </w:rPr>
      </w:pPr>
      <w:r>
        <w:rPr>
          <w:rFonts w:hint="eastAsia" w:ascii="方正小标宋简体" w:hAnsi="方正小标宋简体" w:eastAsia="方正小标宋简体" w:cs="方正小标宋简体"/>
          <w:b/>
          <w:bCs/>
          <w:sz w:val="52"/>
          <w:szCs w:val="52"/>
        </w:rPr>
        <w:t>人才培养方案</w:t>
      </w:r>
      <w:bookmarkEnd w:id="0"/>
    </w:p>
    <w:p>
      <w:pPr>
        <w:spacing w:line="596" w:lineRule="exact"/>
        <w:rPr>
          <w:rFonts w:ascii="仿宋" w:hAnsi="仿宋" w:eastAsia="仿宋" w:cs="仿宋"/>
        </w:rPr>
      </w:pPr>
      <w:r>
        <w:rPr>
          <w:rFonts w:hint="eastAsia" w:ascii="仿宋" w:hAnsi="仿宋" w:eastAsia="仿宋" w:cs="仿宋"/>
        </w:rPr>
        <w:t xml:space="preserve"> </w:t>
      </w:r>
    </w:p>
    <w:p>
      <w:pPr>
        <w:ind w:firstLine="560"/>
        <w:jc w:val="left"/>
        <w:rPr>
          <w:rFonts w:ascii="仿宋" w:hAnsi="仿宋" w:eastAsia="仿宋" w:cs="仿宋"/>
          <w:sz w:val="28"/>
          <w:szCs w:val="28"/>
        </w:rPr>
      </w:pPr>
    </w:p>
    <w:p>
      <w:pPr>
        <w:ind w:firstLine="560"/>
        <w:jc w:val="left"/>
        <w:rPr>
          <w:rFonts w:ascii="仿宋" w:hAnsi="仿宋" w:eastAsia="仿宋" w:cs="仿宋"/>
          <w:sz w:val="28"/>
          <w:szCs w:val="28"/>
        </w:rPr>
      </w:pPr>
    </w:p>
    <w:p>
      <w:pPr>
        <w:pStyle w:val="2"/>
        <w:rPr>
          <w:rFonts w:ascii="仿宋" w:hAnsi="仿宋" w:eastAsia="仿宋" w:cs="仿宋"/>
          <w:sz w:val="28"/>
          <w:szCs w:val="28"/>
        </w:rPr>
      </w:pPr>
    </w:p>
    <w:p>
      <w:pPr>
        <w:rPr>
          <w:rFonts w:ascii="仿宋" w:hAnsi="仿宋" w:eastAsia="仿宋" w:cs="仿宋"/>
          <w:sz w:val="28"/>
          <w:szCs w:val="28"/>
        </w:rPr>
      </w:pPr>
    </w:p>
    <w:p>
      <w:pPr>
        <w:pStyle w:val="2"/>
        <w:rPr>
          <w:rFonts w:ascii="仿宋" w:hAnsi="仿宋" w:eastAsia="仿宋" w:cs="仿宋"/>
          <w:sz w:val="28"/>
          <w:szCs w:val="28"/>
        </w:rPr>
      </w:pPr>
    </w:p>
    <w:p/>
    <w:p/>
    <w:p>
      <w:pPr>
        <w:jc w:val="center"/>
        <w:rPr>
          <w:rFonts w:hint="eastAsia" w:ascii="黑体" w:hAnsi="黑体" w:eastAsia="黑体" w:cs="黑体"/>
          <w:b/>
          <w:bCs/>
          <w:sz w:val="36"/>
          <w:szCs w:val="24"/>
        </w:rPr>
      </w:pPr>
      <w:r>
        <w:rPr>
          <w:rFonts w:hint="eastAsia" w:ascii="黑体" w:hAnsi="黑体" w:eastAsia="黑体" w:cs="黑体"/>
          <w:b/>
          <w:bCs/>
          <w:sz w:val="36"/>
          <w:szCs w:val="24"/>
        </w:rPr>
        <w:t>二O二</w:t>
      </w:r>
      <w:r>
        <w:rPr>
          <w:rFonts w:hint="eastAsia" w:ascii="黑体" w:hAnsi="黑体" w:eastAsia="黑体" w:cs="黑体"/>
          <w:b/>
          <w:bCs/>
          <w:sz w:val="36"/>
          <w:szCs w:val="24"/>
          <w:lang w:val="en-US" w:eastAsia="zh-CN"/>
        </w:rPr>
        <w:t>五</w:t>
      </w:r>
      <w:r>
        <w:rPr>
          <w:rFonts w:hint="eastAsia" w:ascii="黑体" w:hAnsi="黑体" w:eastAsia="黑体" w:cs="黑体"/>
          <w:b/>
          <w:bCs/>
          <w:sz w:val="36"/>
          <w:szCs w:val="24"/>
        </w:rPr>
        <w:t>年</w:t>
      </w:r>
    </w:p>
    <w:p>
      <w:pPr>
        <w:jc w:val="center"/>
        <w:rPr>
          <w:rFonts w:hint="eastAsia" w:ascii="黑体" w:hAnsi="黑体" w:eastAsia="黑体" w:cs="黑体"/>
          <w:b/>
          <w:bCs/>
          <w:sz w:val="36"/>
          <w:szCs w:val="24"/>
        </w:rPr>
      </w:pPr>
      <w:r>
        <w:rPr>
          <w:rFonts w:hint="eastAsia" w:ascii="仿宋" w:hAnsi="仿宋" w:eastAsia="仿宋" w:cs="仿宋"/>
          <w:b/>
          <w:bCs/>
          <w:sz w:val="28"/>
          <w:szCs w:val="28"/>
        </w:rPr>
        <w:br w:type="page"/>
      </w:r>
    </w:p>
    <w:sdt>
      <w:sdtPr>
        <w:rPr>
          <w:rFonts w:ascii="宋体" w:hAnsi="宋体" w:eastAsia="宋体"/>
          <w:b/>
          <w:bCs/>
          <w:kern w:val="44"/>
          <w:sz w:val="32"/>
          <w:szCs w:val="40"/>
        </w:rPr>
        <w:id w:val="147474642"/>
        <w15:color w:val="DBDBDB"/>
        <w:docPartObj>
          <w:docPartGallery w:val="Table of Contents"/>
          <w:docPartUnique/>
        </w:docPartObj>
      </w:sdtPr>
      <w:sdtEndPr>
        <w:rPr>
          <w:rFonts w:hint="eastAsia" w:ascii="宋体" w:hAnsi="宋体" w:eastAsia="宋体"/>
          <w:b/>
          <w:bCs/>
          <w:kern w:val="44"/>
          <w:sz w:val="32"/>
          <w:szCs w:val="40"/>
        </w:rPr>
      </w:sdtEndPr>
      <w:sdtContent>
        <w:p>
          <w:pPr>
            <w:spacing w:line="360" w:lineRule="exact"/>
            <w:jc w:val="center"/>
          </w:pPr>
          <w:r>
            <w:rPr>
              <w:rFonts w:ascii="宋体" w:hAnsi="宋体" w:eastAsia="宋体"/>
              <w:b/>
              <w:bCs/>
              <w:sz w:val="32"/>
              <w:szCs w:val="40"/>
            </w:rPr>
            <w:t>目</w:t>
          </w:r>
          <w:r>
            <w:rPr>
              <w:rFonts w:hint="eastAsia" w:ascii="宋体" w:hAnsi="宋体" w:eastAsia="宋体"/>
              <w:b/>
              <w:bCs/>
              <w:sz w:val="32"/>
              <w:szCs w:val="40"/>
            </w:rPr>
            <w:t xml:space="preserve"> </w:t>
          </w:r>
          <w:r>
            <w:rPr>
              <w:rFonts w:ascii="宋体" w:hAnsi="宋体" w:eastAsia="宋体"/>
              <w:b/>
              <w:bCs/>
              <w:sz w:val="32"/>
              <w:szCs w:val="40"/>
            </w:rPr>
            <w:t>录</w:t>
          </w:r>
          <w:r>
            <w:rPr>
              <w:rFonts w:hint="eastAsia" w:ascii="宋体" w:hAnsi="宋体" w:eastAsia="宋体" w:cs="宋体"/>
              <w:sz w:val="24"/>
            </w:rPr>
            <w:fldChar w:fldCharType="begin"/>
          </w:r>
          <w:r>
            <w:rPr>
              <w:rFonts w:hint="eastAsia" w:ascii="宋体" w:hAnsi="宋体" w:eastAsia="宋体" w:cs="宋体"/>
              <w:sz w:val="24"/>
            </w:rPr>
            <w:instrText xml:space="preserve">TOC \o "1-2" \h \u </w:instrText>
          </w:r>
          <w:r>
            <w:rPr>
              <w:rFonts w:hint="eastAsia" w:ascii="宋体" w:hAnsi="宋体" w:eastAsia="宋体" w:cs="宋体"/>
              <w:sz w:val="24"/>
            </w:rPr>
            <w:fldChar w:fldCharType="separate"/>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_Toc2443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rPr>
            <w:t>一、专业名称及代码</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_Toc2443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_Toc28249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二、</w:t>
          </w:r>
          <w:r>
            <w:rPr>
              <w:rFonts w:hint="eastAsia" w:ascii="宋体" w:hAnsi="宋体" w:eastAsia="宋体" w:cs="宋体"/>
              <w:b/>
              <w:bCs/>
              <w:sz w:val="24"/>
              <w:szCs w:val="36"/>
            </w:rPr>
            <w:t>入学要求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_Toc28249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_Toc6831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三、</w:t>
          </w:r>
          <w:r>
            <w:rPr>
              <w:rFonts w:hint="eastAsia" w:ascii="宋体" w:hAnsi="宋体" w:eastAsia="宋体" w:cs="宋体"/>
              <w:b/>
              <w:bCs/>
              <w:sz w:val="24"/>
              <w:szCs w:val="36"/>
            </w:rPr>
            <w:t>修业年限</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_Toc6831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_Toc20765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四、职业面向</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_Toc20765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_Toc22636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五、</w:t>
          </w:r>
          <w:r>
            <w:rPr>
              <w:rFonts w:hint="eastAsia" w:ascii="宋体" w:hAnsi="宋体" w:eastAsia="宋体" w:cs="宋体"/>
              <w:b/>
              <w:bCs/>
              <w:sz w:val="24"/>
              <w:szCs w:val="36"/>
            </w:rPr>
            <w:t>培养目标</w:t>
          </w:r>
          <w:r>
            <w:rPr>
              <w:rFonts w:hint="eastAsia" w:ascii="宋体" w:hAnsi="宋体" w:eastAsia="宋体" w:cs="宋体"/>
              <w:b/>
              <w:bCs/>
              <w:sz w:val="24"/>
              <w:szCs w:val="36"/>
              <w:lang w:val="en-US" w:eastAsia="zh-CN"/>
            </w:rPr>
            <w:t>与培养规格</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_Toc22636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1</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_Toc27622 </w:instrText>
          </w:r>
          <w:r>
            <w:rPr>
              <w:rFonts w:hint="eastAsia" w:ascii="宋体" w:hAnsi="宋体" w:eastAsia="宋体" w:cs="宋体"/>
              <w:sz w:val="24"/>
              <w:szCs w:val="32"/>
            </w:rPr>
            <w:fldChar w:fldCharType="separate"/>
          </w:r>
          <w:r>
            <w:rPr>
              <w:rFonts w:hint="eastAsia" w:ascii="宋体" w:hAnsi="宋体" w:eastAsia="宋体" w:cs="宋体"/>
              <w:sz w:val="24"/>
              <w:szCs w:val="44"/>
              <w:lang w:eastAsia="zh-CN"/>
            </w:rPr>
            <w:t>（</w:t>
          </w:r>
          <w:r>
            <w:rPr>
              <w:rFonts w:hint="eastAsia" w:ascii="宋体" w:hAnsi="宋体" w:eastAsia="宋体" w:cs="宋体"/>
              <w:sz w:val="24"/>
              <w:szCs w:val="44"/>
              <w:lang w:val="en-US" w:eastAsia="zh-CN"/>
            </w:rPr>
            <w:t>一</w:t>
          </w:r>
          <w:r>
            <w:rPr>
              <w:rFonts w:hint="eastAsia" w:ascii="宋体" w:hAnsi="宋体" w:eastAsia="宋体" w:cs="宋体"/>
              <w:sz w:val="24"/>
              <w:szCs w:val="44"/>
              <w:lang w:eastAsia="zh-CN"/>
            </w:rPr>
            <w:t>）</w:t>
          </w:r>
          <w:r>
            <w:rPr>
              <w:rFonts w:hint="eastAsia" w:ascii="宋体" w:hAnsi="宋体" w:eastAsia="宋体" w:cs="宋体"/>
              <w:sz w:val="24"/>
              <w:szCs w:val="44"/>
              <w:lang w:val="en-US" w:eastAsia="zh-CN"/>
            </w:rPr>
            <w:t>培养目标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_Toc27622 \h </w:instrText>
          </w:r>
          <w:r>
            <w:rPr>
              <w:rFonts w:hint="eastAsia" w:ascii="宋体" w:hAnsi="宋体" w:eastAsia="宋体" w:cs="宋体"/>
              <w:sz w:val="24"/>
              <w:szCs w:val="32"/>
            </w:rPr>
            <w:fldChar w:fldCharType="separate"/>
          </w:r>
          <w:r>
            <w:rPr>
              <w:rFonts w:hint="eastAsia" w:ascii="宋体" w:hAnsi="宋体" w:eastAsia="宋体" w:cs="宋体"/>
              <w:sz w:val="24"/>
              <w:szCs w:val="32"/>
            </w:rPr>
            <w:t>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_Toc31159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（二）</w:t>
          </w:r>
          <w:r>
            <w:rPr>
              <w:rFonts w:hint="eastAsia" w:ascii="宋体" w:hAnsi="宋体" w:eastAsia="宋体" w:cs="宋体"/>
              <w:sz w:val="24"/>
              <w:szCs w:val="44"/>
              <w:lang w:eastAsia="zh-CN"/>
            </w:rPr>
            <w:t>培养规格</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_Toc31159 \h </w:instrText>
          </w:r>
          <w:r>
            <w:rPr>
              <w:rFonts w:hint="eastAsia" w:ascii="宋体" w:hAnsi="宋体" w:eastAsia="宋体" w:cs="宋体"/>
              <w:sz w:val="24"/>
              <w:szCs w:val="32"/>
            </w:rPr>
            <w:fldChar w:fldCharType="separate"/>
          </w:r>
          <w:r>
            <w:rPr>
              <w:rFonts w:hint="eastAsia" w:ascii="宋体" w:hAnsi="宋体" w:eastAsia="宋体" w:cs="宋体"/>
              <w:sz w:val="24"/>
              <w:szCs w:val="32"/>
            </w:rPr>
            <w:t>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_Toc27196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六、课程设置及要求</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_Toc27196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4</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_Toc12977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（一）课程体系</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_Toc12977 \h </w:instrText>
          </w:r>
          <w:r>
            <w:rPr>
              <w:rFonts w:hint="eastAsia" w:ascii="宋体" w:hAnsi="宋体" w:eastAsia="宋体" w:cs="宋体"/>
              <w:sz w:val="24"/>
              <w:szCs w:val="32"/>
            </w:rPr>
            <w:fldChar w:fldCharType="separate"/>
          </w:r>
          <w:r>
            <w:rPr>
              <w:rFonts w:hint="eastAsia" w:ascii="宋体" w:hAnsi="宋体" w:eastAsia="宋体" w:cs="宋体"/>
              <w:sz w:val="24"/>
              <w:szCs w:val="32"/>
            </w:rPr>
            <w:t>4</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_Toc4982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（二）课程设置</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_Toc4982 \h </w:instrText>
          </w:r>
          <w:r>
            <w:rPr>
              <w:rFonts w:hint="eastAsia" w:ascii="宋体" w:hAnsi="宋体" w:eastAsia="宋体" w:cs="宋体"/>
              <w:sz w:val="24"/>
              <w:szCs w:val="32"/>
            </w:rPr>
            <w:fldChar w:fldCharType="separate"/>
          </w:r>
          <w:r>
            <w:rPr>
              <w:rFonts w:hint="eastAsia" w:ascii="宋体" w:hAnsi="宋体" w:eastAsia="宋体" w:cs="宋体"/>
              <w:sz w:val="24"/>
              <w:szCs w:val="32"/>
            </w:rPr>
            <w:t>12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_Toc27181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七、教学进度总体安排</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_Toc27181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32</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_Toc17573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（一）教学活动时间分配</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_Toc17573 \h </w:instrText>
          </w:r>
          <w:r>
            <w:rPr>
              <w:rFonts w:hint="eastAsia" w:ascii="宋体" w:hAnsi="宋体" w:eastAsia="宋体" w:cs="宋体"/>
              <w:sz w:val="24"/>
              <w:szCs w:val="32"/>
            </w:rPr>
            <w:fldChar w:fldCharType="separate"/>
          </w:r>
          <w:r>
            <w:rPr>
              <w:rFonts w:hint="eastAsia" w:ascii="宋体" w:hAnsi="宋体" w:eastAsia="宋体" w:cs="宋体"/>
              <w:sz w:val="24"/>
              <w:szCs w:val="32"/>
            </w:rPr>
            <w:t>32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_Toc31832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（二）课程学分学时比例构成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_Toc31832 \h </w:instrText>
          </w:r>
          <w:r>
            <w:rPr>
              <w:rFonts w:hint="eastAsia" w:ascii="宋体" w:hAnsi="宋体" w:eastAsia="宋体" w:cs="宋体"/>
              <w:sz w:val="24"/>
              <w:szCs w:val="32"/>
            </w:rPr>
            <w:fldChar w:fldCharType="separate"/>
          </w:r>
          <w:r>
            <w:rPr>
              <w:rFonts w:hint="eastAsia" w:ascii="宋体" w:hAnsi="宋体" w:eastAsia="宋体" w:cs="宋体"/>
              <w:sz w:val="24"/>
              <w:szCs w:val="32"/>
            </w:rPr>
            <w:t>33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_Toc5913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（三）第一课堂进程安排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_Toc5913 \h </w:instrText>
          </w:r>
          <w:r>
            <w:rPr>
              <w:rFonts w:hint="eastAsia" w:ascii="宋体" w:hAnsi="宋体" w:eastAsia="宋体" w:cs="宋体"/>
              <w:sz w:val="24"/>
              <w:szCs w:val="32"/>
            </w:rPr>
            <w:fldChar w:fldCharType="separate"/>
          </w:r>
          <w:r>
            <w:rPr>
              <w:rFonts w:hint="eastAsia" w:ascii="宋体" w:hAnsi="宋体" w:eastAsia="宋体" w:cs="宋体"/>
              <w:sz w:val="24"/>
              <w:szCs w:val="32"/>
            </w:rPr>
            <w:t>33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_Toc31667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（四）第二课堂活动安排</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_Toc31667 \h </w:instrText>
          </w:r>
          <w:r>
            <w:rPr>
              <w:rFonts w:hint="eastAsia" w:ascii="宋体" w:hAnsi="宋体" w:eastAsia="宋体" w:cs="宋体"/>
              <w:sz w:val="24"/>
              <w:szCs w:val="32"/>
            </w:rPr>
            <w:fldChar w:fldCharType="separate"/>
          </w:r>
          <w:r>
            <w:rPr>
              <w:rFonts w:hint="eastAsia" w:ascii="宋体" w:hAnsi="宋体" w:eastAsia="宋体" w:cs="宋体"/>
              <w:sz w:val="24"/>
              <w:szCs w:val="32"/>
            </w:rPr>
            <w:t>33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_Toc27067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八、实施保障</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_Toc27067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38</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_Toc28671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（一）实训基地配备</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_Toc28671 \h </w:instrText>
          </w:r>
          <w:r>
            <w:rPr>
              <w:rFonts w:hint="eastAsia" w:ascii="宋体" w:hAnsi="宋体" w:eastAsia="宋体" w:cs="宋体"/>
              <w:sz w:val="24"/>
              <w:szCs w:val="32"/>
            </w:rPr>
            <w:fldChar w:fldCharType="separate"/>
          </w:r>
          <w:r>
            <w:rPr>
              <w:rFonts w:hint="eastAsia" w:ascii="宋体" w:hAnsi="宋体" w:eastAsia="宋体" w:cs="宋体"/>
              <w:sz w:val="24"/>
              <w:szCs w:val="32"/>
            </w:rPr>
            <w:t>38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_Toc3807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（二）结构化教学团队</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_Toc3807 \h </w:instrText>
          </w:r>
          <w:r>
            <w:rPr>
              <w:rFonts w:hint="eastAsia" w:ascii="宋体" w:hAnsi="宋体" w:eastAsia="宋体" w:cs="宋体"/>
              <w:sz w:val="24"/>
              <w:szCs w:val="32"/>
            </w:rPr>
            <w:fldChar w:fldCharType="separate"/>
          </w:r>
          <w:r>
            <w:rPr>
              <w:rFonts w:hint="eastAsia" w:ascii="宋体" w:hAnsi="宋体" w:eastAsia="宋体" w:cs="宋体"/>
              <w:sz w:val="24"/>
              <w:szCs w:val="32"/>
            </w:rPr>
            <w:t>40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_Toc27116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（三）教学资源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_Toc27116 \h </w:instrText>
          </w:r>
          <w:r>
            <w:rPr>
              <w:rFonts w:hint="eastAsia" w:ascii="宋体" w:hAnsi="宋体" w:eastAsia="宋体" w:cs="宋体"/>
              <w:sz w:val="24"/>
              <w:szCs w:val="32"/>
            </w:rPr>
            <w:fldChar w:fldCharType="separate"/>
          </w:r>
          <w:r>
            <w:rPr>
              <w:rFonts w:hint="eastAsia" w:ascii="宋体" w:hAnsi="宋体" w:eastAsia="宋体" w:cs="宋体"/>
              <w:sz w:val="24"/>
              <w:szCs w:val="32"/>
            </w:rPr>
            <w:t>40</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_Toc2987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（四）教学方法</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_Toc2987 \h </w:instrText>
          </w:r>
          <w:r>
            <w:rPr>
              <w:rFonts w:hint="eastAsia" w:ascii="宋体" w:hAnsi="宋体" w:eastAsia="宋体" w:cs="宋体"/>
              <w:sz w:val="24"/>
              <w:szCs w:val="32"/>
            </w:rPr>
            <w:fldChar w:fldCharType="separate"/>
          </w:r>
          <w:r>
            <w:rPr>
              <w:rFonts w:hint="eastAsia" w:ascii="宋体" w:hAnsi="宋体" w:eastAsia="宋体" w:cs="宋体"/>
              <w:sz w:val="24"/>
              <w:szCs w:val="32"/>
            </w:rPr>
            <w:t>41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_Toc16360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（五）学习评价</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_Toc16360 \h </w:instrText>
          </w:r>
          <w:r>
            <w:rPr>
              <w:rFonts w:hint="eastAsia" w:ascii="宋体" w:hAnsi="宋体" w:eastAsia="宋体" w:cs="宋体"/>
              <w:sz w:val="24"/>
              <w:szCs w:val="32"/>
            </w:rPr>
            <w:fldChar w:fldCharType="separate"/>
          </w:r>
          <w:r>
            <w:rPr>
              <w:rFonts w:hint="eastAsia" w:ascii="宋体" w:hAnsi="宋体" w:eastAsia="宋体" w:cs="宋体"/>
              <w:sz w:val="24"/>
              <w:szCs w:val="32"/>
            </w:rPr>
            <w:t>41</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_Toc47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（六）质量保障</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_Toc47 \h </w:instrText>
          </w:r>
          <w:r>
            <w:rPr>
              <w:rFonts w:hint="eastAsia" w:ascii="宋体" w:hAnsi="宋体" w:eastAsia="宋体" w:cs="宋体"/>
              <w:sz w:val="24"/>
              <w:szCs w:val="32"/>
            </w:rPr>
            <w:fldChar w:fldCharType="separate"/>
          </w:r>
          <w:r>
            <w:rPr>
              <w:rFonts w:hint="eastAsia" w:ascii="宋体" w:hAnsi="宋体" w:eastAsia="宋体" w:cs="宋体"/>
              <w:sz w:val="24"/>
              <w:szCs w:val="32"/>
            </w:rPr>
            <w:t>42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_Toc27668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九、</w:t>
          </w:r>
          <w:r>
            <w:rPr>
              <w:rFonts w:hint="eastAsia" w:ascii="宋体" w:hAnsi="宋体" w:eastAsia="宋体" w:cs="宋体"/>
              <w:b/>
              <w:bCs/>
              <w:sz w:val="24"/>
              <w:szCs w:val="36"/>
            </w:rPr>
            <w:t>毕业要求</w:t>
          </w:r>
          <w:r>
            <w:rPr>
              <w:rFonts w:hint="eastAsia" w:ascii="宋体" w:hAnsi="宋体" w:eastAsia="宋体" w:cs="宋体"/>
              <w:b/>
              <w:bCs/>
              <w:sz w:val="24"/>
              <w:szCs w:val="36"/>
              <w:lang w:val="en-US" w:eastAsia="zh-CN"/>
            </w:rPr>
            <w:t>及学位授予</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_Toc27668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42</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_Toc5931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（一）毕业要求</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_Toc5931 \h </w:instrText>
          </w:r>
          <w:r>
            <w:rPr>
              <w:rFonts w:hint="eastAsia" w:ascii="宋体" w:hAnsi="宋体" w:eastAsia="宋体" w:cs="宋体"/>
              <w:sz w:val="24"/>
              <w:szCs w:val="32"/>
            </w:rPr>
            <w:fldChar w:fldCharType="separate"/>
          </w:r>
          <w:r>
            <w:rPr>
              <w:rFonts w:hint="eastAsia" w:ascii="宋体" w:hAnsi="宋体" w:eastAsia="宋体" w:cs="宋体"/>
              <w:sz w:val="24"/>
              <w:szCs w:val="32"/>
            </w:rPr>
            <w:t>42</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_Toc10945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（二）学位授予</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_Toc10945 \h </w:instrText>
          </w:r>
          <w:r>
            <w:rPr>
              <w:rFonts w:hint="eastAsia" w:ascii="宋体" w:hAnsi="宋体" w:eastAsia="宋体" w:cs="宋体"/>
              <w:sz w:val="24"/>
              <w:szCs w:val="32"/>
            </w:rPr>
            <w:fldChar w:fldCharType="separate"/>
          </w:r>
          <w:r>
            <w:rPr>
              <w:rFonts w:hint="eastAsia" w:ascii="宋体" w:hAnsi="宋体" w:eastAsia="宋体" w:cs="宋体"/>
              <w:sz w:val="24"/>
              <w:szCs w:val="32"/>
            </w:rPr>
            <w:t>43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1"/>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b/>
              <w:bCs/>
              <w:sz w:val="24"/>
              <w:szCs w:val="32"/>
            </w:rPr>
          </w:pP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HYPERLINK \l _Toc19930 </w:instrText>
          </w:r>
          <w:r>
            <w:rPr>
              <w:rFonts w:hint="eastAsia" w:ascii="宋体" w:hAnsi="宋体" w:eastAsia="宋体" w:cs="宋体"/>
              <w:b/>
              <w:bCs/>
              <w:sz w:val="24"/>
              <w:szCs w:val="32"/>
            </w:rPr>
            <w:fldChar w:fldCharType="separate"/>
          </w:r>
          <w:r>
            <w:rPr>
              <w:rFonts w:hint="eastAsia" w:ascii="宋体" w:hAnsi="宋体" w:eastAsia="宋体" w:cs="宋体"/>
              <w:b/>
              <w:bCs/>
              <w:sz w:val="24"/>
              <w:szCs w:val="36"/>
              <w:lang w:val="en-US" w:eastAsia="zh-CN"/>
            </w:rPr>
            <w:t>十、附录</w:t>
          </w:r>
          <w:r>
            <w:rPr>
              <w:rFonts w:hint="eastAsia" w:ascii="宋体" w:hAnsi="宋体" w:eastAsia="宋体" w:cs="宋体"/>
              <w:b/>
              <w:bCs/>
              <w:sz w:val="24"/>
              <w:szCs w:val="32"/>
            </w:rPr>
            <w:tab/>
          </w:r>
          <w:r>
            <w:rPr>
              <w:rFonts w:hint="eastAsia" w:ascii="宋体" w:hAnsi="宋体" w:eastAsia="宋体" w:cs="宋体"/>
              <w:b/>
              <w:bCs/>
              <w:sz w:val="24"/>
              <w:szCs w:val="32"/>
            </w:rPr>
            <w:fldChar w:fldCharType="begin"/>
          </w:r>
          <w:r>
            <w:rPr>
              <w:rFonts w:hint="eastAsia" w:ascii="宋体" w:hAnsi="宋体" w:eastAsia="宋体" w:cs="宋体"/>
              <w:b/>
              <w:bCs/>
              <w:sz w:val="24"/>
              <w:szCs w:val="32"/>
            </w:rPr>
            <w:instrText xml:space="preserve"> PAGEREF _Toc19930 \h </w:instrText>
          </w:r>
          <w:r>
            <w:rPr>
              <w:rFonts w:hint="eastAsia" w:ascii="宋体" w:hAnsi="宋体" w:eastAsia="宋体" w:cs="宋体"/>
              <w:b/>
              <w:bCs/>
              <w:sz w:val="24"/>
              <w:szCs w:val="32"/>
            </w:rPr>
            <w:fldChar w:fldCharType="separate"/>
          </w:r>
          <w:r>
            <w:rPr>
              <w:rFonts w:hint="eastAsia" w:ascii="宋体" w:hAnsi="宋体" w:eastAsia="宋体" w:cs="宋体"/>
              <w:b/>
              <w:bCs/>
              <w:sz w:val="24"/>
              <w:szCs w:val="32"/>
            </w:rPr>
            <w:t>43</w:t>
          </w:r>
          <w:r>
            <w:rPr>
              <w:rFonts w:hint="eastAsia" w:ascii="宋体" w:hAnsi="宋体" w:eastAsia="宋体" w:cs="宋体"/>
              <w:b/>
              <w:bCs/>
              <w:sz w:val="24"/>
              <w:szCs w:val="32"/>
            </w:rPr>
            <w:fldChar w:fldCharType="end"/>
          </w:r>
          <w:r>
            <w:rPr>
              <w:rFonts w:hint="eastAsia" w:ascii="宋体" w:hAnsi="宋体" w:eastAsia="宋体" w:cs="宋体"/>
              <w:b/>
              <w:bCs/>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_Toc13743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（一）第一课堂进程安排表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_Toc13743 \h </w:instrText>
          </w:r>
          <w:r>
            <w:rPr>
              <w:rFonts w:hint="eastAsia" w:ascii="宋体" w:hAnsi="宋体" w:eastAsia="宋体" w:cs="宋体"/>
              <w:sz w:val="24"/>
              <w:szCs w:val="32"/>
            </w:rPr>
            <w:fldChar w:fldCharType="separate"/>
          </w:r>
          <w:r>
            <w:rPr>
              <w:rFonts w:hint="eastAsia" w:ascii="宋体" w:hAnsi="宋体" w:eastAsia="宋体" w:cs="宋体"/>
              <w:sz w:val="24"/>
              <w:szCs w:val="32"/>
            </w:rPr>
            <w:t>43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_Toc2755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（二）第二课堂活动安排表</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_Toc2755 \h </w:instrText>
          </w:r>
          <w:r>
            <w:rPr>
              <w:rFonts w:hint="eastAsia" w:ascii="宋体" w:hAnsi="宋体" w:eastAsia="宋体" w:cs="宋体"/>
              <w:sz w:val="24"/>
              <w:szCs w:val="32"/>
            </w:rPr>
            <w:fldChar w:fldCharType="separate"/>
          </w:r>
          <w:r>
            <w:rPr>
              <w:rFonts w:hint="eastAsia" w:ascii="宋体" w:hAnsi="宋体" w:eastAsia="宋体" w:cs="宋体"/>
              <w:sz w:val="24"/>
              <w:szCs w:val="32"/>
            </w:rPr>
            <w:t>53</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rFonts w:hint="eastAsia" w:ascii="宋体" w:hAnsi="宋体" w:eastAsia="宋体" w:cs="宋体"/>
              <w:sz w:val="24"/>
              <w:szCs w:val="32"/>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_Toc9726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（三）专业人才培养方案制定的说明</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_Toc9726 \h </w:instrText>
          </w:r>
          <w:r>
            <w:rPr>
              <w:rFonts w:hint="eastAsia" w:ascii="宋体" w:hAnsi="宋体" w:eastAsia="宋体" w:cs="宋体"/>
              <w:sz w:val="24"/>
              <w:szCs w:val="32"/>
            </w:rPr>
            <w:fldChar w:fldCharType="separate"/>
          </w:r>
          <w:r>
            <w:rPr>
              <w:rFonts w:hint="eastAsia" w:ascii="宋体" w:hAnsi="宋体" w:eastAsia="宋体" w:cs="宋体"/>
              <w:sz w:val="24"/>
              <w:szCs w:val="32"/>
            </w:rPr>
            <w:t>58</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12"/>
            <w:keepNext w:val="0"/>
            <w:keepLines w:val="0"/>
            <w:pageBreakBefore w:val="0"/>
            <w:widowControl w:val="0"/>
            <w:tabs>
              <w:tab w:val="right" w:leader="dot" w:pos="8306"/>
            </w:tabs>
            <w:kinsoku/>
            <w:wordWrap/>
            <w:overflowPunct/>
            <w:topLinePunct w:val="0"/>
            <w:autoSpaceDE/>
            <w:autoSpaceDN/>
            <w:bidi w:val="0"/>
            <w:adjustRightInd/>
            <w:snapToGrid/>
            <w:spacing w:line="420" w:lineRule="exact"/>
            <w:textAlignment w:val="auto"/>
            <w:rPr>
              <w:sz w:val="22"/>
              <w:szCs w:val="28"/>
            </w:rPr>
          </w:pP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HYPERLINK \l _Toc1106 </w:instrText>
          </w:r>
          <w:r>
            <w:rPr>
              <w:rFonts w:hint="eastAsia" w:ascii="宋体" w:hAnsi="宋体" w:eastAsia="宋体" w:cs="宋体"/>
              <w:sz w:val="24"/>
              <w:szCs w:val="32"/>
            </w:rPr>
            <w:fldChar w:fldCharType="separate"/>
          </w:r>
          <w:r>
            <w:rPr>
              <w:rFonts w:hint="eastAsia" w:ascii="宋体" w:hAnsi="宋体" w:eastAsia="宋体" w:cs="宋体"/>
              <w:sz w:val="24"/>
              <w:szCs w:val="44"/>
              <w:lang w:val="en-US" w:eastAsia="zh-CN"/>
            </w:rPr>
            <w:t>（四）专业对应的职业/岗位分析</w:t>
          </w:r>
          <w:r>
            <w:rPr>
              <w:rFonts w:hint="eastAsia" w:ascii="宋体" w:hAnsi="宋体" w:eastAsia="宋体" w:cs="宋体"/>
              <w:sz w:val="24"/>
              <w:szCs w:val="32"/>
            </w:rPr>
            <w:tab/>
          </w:r>
          <w:r>
            <w:rPr>
              <w:rFonts w:hint="eastAsia" w:ascii="宋体" w:hAnsi="宋体" w:eastAsia="宋体" w:cs="宋体"/>
              <w:sz w:val="24"/>
              <w:szCs w:val="32"/>
            </w:rPr>
            <w:fldChar w:fldCharType="begin"/>
          </w:r>
          <w:r>
            <w:rPr>
              <w:rFonts w:hint="eastAsia" w:ascii="宋体" w:hAnsi="宋体" w:eastAsia="宋体" w:cs="宋体"/>
              <w:sz w:val="24"/>
              <w:szCs w:val="32"/>
            </w:rPr>
            <w:instrText xml:space="preserve"> PAGEREF _Toc1106 \h </w:instrText>
          </w:r>
          <w:r>
            <w:rPr>
              <w:rFonts w:hint="eastAsia" w:ascii="宋体" w:hAnsi="宋体" w:eastAsia="宋体" w:cs="宋体"/>
              <w:sz w:val="24"/>
              <w:szCs w:val="32"/>
            </w:rPr>
            <w:fldChar w:fldCharType="separate"/>
          </w:r>
          <w:r>
            <w:rPr>
              <w:rFonts w:hint="eastAsia" w:ascii="宋体" w:hAnsi="宋体" w:eastAsia="宋体" w:cs="宋体"/>
              <w:sz w:val="24"/>
              <w:szCs w:val="32"/>
            </w:rPr>
            <w:t>59</w:t>
          </w:r>
          <w:r>
            <w:rPr>
              <w:rFonts w:hint="eastAsia" w:ascii="宋体" w:hAnsi="宋体" w:eastAsia="宋体" w:cs="宋体"/>
              <w:sz w:val="24"/>
              <w:szCs w:val="32"/>
            </w:rPr>
            <w:fldChar w:fldCharType="end"/>
          </w:r>
          <w:r>
            <w:rPr>
              <w:rFonts w:hint="eastAsia" w:ascii="宋体" w:hAnsi="宋体" w:eastAsia="宋体" w:cs="宋体"/>
              <w:sz w:val="24"/>
              <w:szCs w:val="32"/>
            </w:rPr>
            <w:fldChar w:fldCharType="end"/>
          </w:r>
        </w:p>
        <w:p>
          <w:pPr>
            <w:pStyle w:val="3"/>
            <w:bidi w:val="0"/>
            <w:sectPr>
              <w:pgSz w:w="11906" w:h="16838"/>
              <w:pgMar w:top="1440" w:right="1800" w:bottom="1440" w:left="1800" w:header="851" w:footer="992" w:gutter="0"/>
              <w:pgNumType w:fmt="decimal"/>
              <w:cols w:space="425" w:num="1"/>
              <w:docGrid w:type="lines" w:linePitch="312" w:charSpace="0"/>
            </w:sectPr>
          </w:pPr>
          <w:r>
            <w:rPr>
              <w:rFonts w:hint="eastAsia" w:ascii="宋体" w:hAnsi="宋体" w:eastAsia="宋体" w:cs="宋体"/>
              <w:szCs w:val="24"/>
            </w:rPr>
            <w:fldChar w:fldCharType="end"/>
          </w:r>
        </w:p>
      </w:sdtContent>
    </w:sdt>
    <w:p>
      <w:pPr>
        <w:pStyle w:val="3"/>
        <w:bidi w:val="0"/>
        <w:rPr>
          <w:rFonts w:hint="eastAsia"/>
        </w:rPr>
      </w:pPr>
      <w:bookmarkStart w:id="1" w:name="_Toc2443"/>
      <w:r>
        <w:rPr>
          <w:rFonts w:hint="eastAsia"/>
        </w:rPr>
        <w:t>一、专业名称及代码</w:t>
      </w:r>
      <w:bookmarkEnd w:id="1"/>
    </w:p>
    <w:p>
      <w:pPr>
        <w:bidi w:val="0"/>
        <w:rPr>
          <w:rFonts w:hint="eastAsia"/>
        </w:rPr>
      </w:pPr>
      <w:bookmarkStart w:id="2" w:name="_Toc28249"/>
      <w:r>
        <w:rPr>
          <w:rFonts w:hint="eastAsia"/>
        </w:rPr>
        <w:t>专业名称：装备智能化技术</w:t>
      </w:r>
    </w:p>
    <w:p>
      <w:pPr>
        <w:bidi w:val="0"/>
        <w:rPr>
          <w:rFonts w:hint="eastAsia"/>
        </w:rPr>
      </w:pPr>
      <w:r>
        <w:rPr>
          <w:rFonts w:hint="eastAsia"/>
        </w:rPr>
        <w:t>专业代码：260201</w:t>
      </w:r>
    </w:p>
    <w:p>
      <w:pPr>
        <w:pStyle w:val="3"/>
        <w:bidi w:val="0"/>
        <w:rPr>
          <w:rFonts w:hint="eastAsia"/>
        </w:rPr>
      </w:pPr>
      <w:r>
        <w:rPr>
          <w:rFonts w:hint="eastAsia"/>
          <w:lang w:val="en-US" w:eastAsia="zh-CN"/>
        </w:rPr>
        <w:t>二、</w:t>
      </w:r>
      <w:r>
        <w:rPr>
          <w:rFonts w:hint="eastAsia"/>
        </w:rPr>
        <w:t>入学要求</w:t>
      </w:r>
      <w:bookmarkEnd w:id="2"/>
    </w:p>
    <w:p>
      <w:pPr>
        <w:bidi w:val="0"/>
        <w:rPr>
          <w:rFonts w:hint="eastAsia"/>
        </w:rPr>
      </w:pPr>
      <w:r>
        <w:rPr>
          <w:rFonts w:hint="eastAsia"/>
        </w:rPr>
        <w:t>应届高中毕业生或具有同等学力的学生。</w:t>
      </w:r>
    </w:p>
    <w:p>
      <w:pPr>
        <w:pStyle w:val="3"/>
        <w:bidi w:val="0"/>
        <w:rPr>
          <w:rFonts w:hint="eastAsia"/>
        </w:rPr>
      </w:pPr>
      <w:bookmarkStart w:id="3" w:name="_Toc6831"/>
      <w:r>
        <w:rPr>
          <w:rFonts w:hint="eastAsia"/>
          <w:lang w:val="en-US" w:eastAsia="zh-CN"/>
        </w:rPr>
        <w:t>三、</w:t>
      </w:r>
      <w:r>
        <w:rPr>
          <w:rFonts w:hint="eastAsia"/>
        </w:rPr>
        <w:t>修业年限</w:t>
      </w:r>
      <w:bookmarkEnd w:id="3"/>
    </w:p>
    <w:p>
      <w:pPr>
        <w:bidi w:val="0"/>
        <w:rPr>
          <w:rFonts w:hint="eastAsia" w:ascii="Times New Roman" w:hAnsi="Times New Roman"/>
        </w:rPr>
      </w:pPr>
      <w:r>
        <w:rPr>
          <w:rFonts w:hint="eastAsia" w:ascii="Times New Roman" w:hAnsi="Times New Roman"/>
        </w:rPr>
        <w:t>基本学制为4年。实行弹性学制，修业年限3～6年。</w:t>
      </w:r>
    </w:p>
    <w:p>
      <w:pPr>
        <w:pStyle w:val="3"/>
        <w:bidi w:val="0"/>
        <w:rPr>
          <w:rFonts w:hint="eastAsia"/>
          <w:lang w:val="en-US" w:eastAsia="zh-CN"/>
        </w:rPr>
      </w:pPr>
      <w:bookmarkStart w:id="4" w:name="_Toc20765"/>
      <w:r>
        <w:rPr>
          <w:rFonts w:hint="eastAsia"/>
          <w:lang w:val="en-US" w:eastAsia="zh-CN"/>
        </w:rPr>
        <w:t>四、职业面向</w:t>
      </w:r>
      <w:bookmarkEnd w:id="4"/>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9"/>
        <w:gridCol w:w="1056"/>
        <w:gridCol w:w="1418"/>
        <w:gridCol w:w="1686"/>
        <w:gridCol w:w="1665"/>
        <w:gridCol w:w="1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trPr>
        <w:tc>
          <w:tcPr>
            <w:tcW w:w="1059" w:type="dxa"/>
            <w:vAlign w:val="center"/>
          </w:tcPr>
          <w:p>
            <w:pPr>
              <w:pStyle w:val="47"/>
              <w:bidi w:val="0"/>
              <w:rPr>
                <w:rFonts w:hint="eastAsia"/>
              </w:rPr>
            </w:pPr>
            <w:r>
              <w:rPr>
                <w:rFonts w:hint="eastAsia"/>
              </w:rPr>
              <w:t>所属专</w:t>
            </w:r>
          </w:p>
          <w:p>
            <w:pPr>
              <w:pStyle w:val="47"/>
              <w:bidi w:val="0"/>
              <w:rPr>
                <w:rFonts w:hint="eastAsia"/>
              </w:rPr>
            </w:pPr>
            <w:r>
              <w:rPr>
                <w:rFonts w:hint="eastAsia"/>
              </w:rPr>
              <w:t>业大类</w:t>
            </w:r>
          </w:p>
          <w:p>
            <w:pPr>
              <w:pStyle w:val="47"/>
              <w:bidi w:val="0"/>
              <w:rPr>
                <w:rFonts w:hint="eastAsia"/>
              </w:rPr>
            </w:pPr>
            <w:r>
              <w:rPr>
                <w:rFonts w:hint="eastAsia"/>
              </w:rPr>
              <w:t>(代码)</w:t>
            </w:r>
          </w:p>
        </w:tc>
        <w:tc>
          <w:tcPr>
            <w:tcW w:w="1056" w:type="dxa"/>
            <w:vAlign w:val="center"/>
          </w:tcPr>
          <w:p>
            <w:pPr>
              <w:pStyle w:val="47"/>
              <w:bidi w:val="0"/>
              <w:rPr>
                <w:rFonts w:hint="eastAsia"/>
              </w:rPr>
            </w:pPr>
            <w:r>
              <w:rPr>
                <w:rFonts w:hint="eastAsia"/>
              </w:rPr>
              <w:t>所属专</w:t>
            </w:r>
          </w:p>
          <w:p>
            <w:pPr>
              <w:pStyle w:val="47"/>
              <w:bidi w:val="0"/>
              <w:rPr>
                <w:rFonts w:hint="eastAsia"/>
              </w:rPr>
            </w:pPr>
            <w:r>
              <w:rPr>
                <w:rFonts w:hint="eastAsia"/>
              </w:rPr>
              <w:t>业类</w:t>
            </w:r>
          </w:p>
          <w:p>
            <w:pPr>
              <w:pStyle w:val="47"/>
              <w:bidi w:val="0"/>
              <w:rPr>
                <w:rFonts w:hint="eastAsia"/>
              </w:rPr>
            </w:pPr>
            <w:r>
              <w:rPr>
                <w:rFonts w:hint="eastAsia"/>
              </w:rPr>
              <w:t>(代码)</w:t>
            </w:r>
          </w:p>
        </w:tc>
        <w:tc>
          <w:tcPr>
            <w:tcW w:w="1418" w:type="dxa"/>
            <w:vAlign w:val="center"/>
          </w:tcPr>
          <w:p>
            <w:pPr>
              <w:pStyle w:val="47"/>
              <w:bidi w:val="0"/>
              <w:rPr>
                <w:rFonts w:hint="eastAsia"/>
              </w:rPr>
            </w:pPr>
            <w:r>
              <w:rPr>
                <w:rFonts w:hint="eastAsia"/>
              </w:rPr>
              <w:t>对应行业</w:t>
            </w:r>
          </w:p>
          <w:p>
            <w:pPr>
              <w:pStyle w:val="47"/>
              <w:bidi w:val="0"/>
              <w:rPr>
                <w:rFonts w:hint="eastAsia"/>
              </w:rPr>
            </w:pPr>
            <w:r>
              <w:rPr>
                <w:rFonts w:hint="eastAsia"/>
              </w:rPr>
              <w:t>(代码)</w:t>
            </w:r>
          </w:p>
        </w:tc>
        <w:tc>
          <w:tcPr>
            <w:tcW w:w="1686" w:type="dxa"/>
            <w:vAlign w:val="center"/>
          </w:tcPr>
          <w:p>
            <w:pPr>
              <w:pStyle w:val="47"/>
              <w:bidi w:val="0"/>
              <w:rPr>
                <w:rFonts w:hint="eastAsia"/>
              </w:rPr>
            </w:pPr>
            <w:r>
              <w:rPr>
                <w:rFonts w:hint="eastAsia"/>
              </w:rPr>
              <w:t>主要职业类别</w:t>
            </w:r>
          </w:p>
          <w:p>
            <w:pPr>
              <w:pStyle w:val="47"/>
              <w:bidi w:val="0"/>
              <w:rPr>
                <w:rFonts w:hint="eastAsia"/>
              </w:rPr>
            </w:pPr>
            <w:r>
              <w:rPr>
                <w:rFonts w:hint="eastAsia"/>
              </w:rPr>
              <w:t>(代码)</w:t>
            </w:r>
          </w:p>
        </w:tc>
        <w:tc>
          <w:tcPr>
            <w:tcW w:w="1665" w:type="dxa"/>
            <w:vAlign w:val="center"/>
          </w:tcPr>
          <w:p>
            <w:pPr>
              <w:pStyle w:val="47"/>
              <w:bidi w:val="0"/>
              <w:rPr>
                <w:rFonts w:hint="eastAsia"/>
              </w:rPr>
            </w:pPr>
            <w:r>
              <w:rPr>
                <w:rFonts w:hint="eastAsia"/>
              </w:rPr>
              <w:t>主要岗位群或技术领域举例</w:t>
            </w:r>
          </w:p>
        </w:tc>
        <w:tc>
          <w:tcPr>
            <w:tcW w:w="1632" w:type="dxa"/>
            <w:vAlign w:val="center"/>
          </w:tcPr>
          <w:p>
            <w:pPr>
              <w:pStyle w:val="47"/>
              <w:bidi w:val="0"/>
              <w:rPr>
                <w:rFonts w:hint="eastAsia"/>
              </w:rPr>
            </w:pPr>
            <w:r>
              <w:rPr>
                <w:rFonts w:hint="eastAsia"/>
              </w:rPr>
              <w:t>职业资格证书和职业技能等级证书举例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9" w:type="dxa"/>
            <w:vAlign w:val="center"/>
          </w:tcPr>
          <w:p>
            <w:pPr>
              <w:pStyle w:val="46"/>
              <w:keepNext w:val="0"/>
              <w:keepLines w:val="0"/>
              <w:suppressLineNumbers w:val="0"/>
              <w:spacing w:before="0" w:beforeAutospacing="0" w:after="0" w:afterAutospacing="0" w:line="240" w:lineRule="auto"/>
              <w:ind w:left="0" w:right="0" w:firstLine="0" w:firstLineChars="0"/>
              <w:rPr>
                <w:rFonts w:hint="eastAsia" w:ascii="仿宋" w:hAnsi="仿宋" w:eastAsia="仿宋" w:cs="仿宋"/>
                <w:sz w:val="21"/>
                <w:lang w:val="en-US" w:eastAsia="zh-CN"/>
              </w:rPr>
            </w:pPr>
            <w:r>
              <w:rPr>
                <w:rFonts w:hint="eastAsia" w:ascii="仿宋" w:hAnsi="仿宋" w:eastAsia="仿宋" w:cs="仿宋"/>
                <w:sz w:val="21"/>
                <w:lang w:val="en-US" w:eastAsia="zh-CN"/>
              </w:rPr>
              <w:t>装备制造大类（26）</w:t>
            </w:r>
          </w:p>
          <w:p>
            <w:pPr>
              <w:pStyle w:val="46"/>
              <w:keepNext w:val="0"/>
              <w:keepLines w:val="0"/>
              <w:suppressLineNumbers w:val="0"/>
              <w:spacing w:before="0" w:beforeAutospacing="0" w:after="0" w:afterAutospacing="0" w:line="240" w:lineRule="auto"/>
              <w:ind w:left="0" w:leftChars="0" w:right="0" w:rightChars="0" w:firstLine="0" w:firstLineChars="0"/>
              <w:rPr>
                <w:vertAlign w:val="baseline"/>
              </w:rPr>
            </w:pPr>
          </w:p>
        </w:tc>
        <w:tc>
          <w:tcPr>
            <w:tcW w:w="1056" w:type="dxa"/>
            <w:vAlign w:val="center"/>
          </w:tcPr>
          <w:p>
            <w:pPr>
              <w:pStyle w:val="46"/>
              <w:keepNext w:val="0"/>
              <w:keepLines w:val="0"/>
              <w:suppressLineNumbers w:val="0"/>
              <w:spacing w:before="0" w:beforeAutospacing="0" w:after="0" w:afterAutospacing="0" w:line="240" w:lineRule="auto"/>
              <w:ind w:left="0" w:leftChars="0" w:right="0" w:rightChars="0" w:firstLine="0" w:firstLineChars="0"/>
              <w:rPr>
                <w:vertAlign w:val="baseline"/>
              </w:rPr>
            </w:pPr>
            <w:r>
              <w:rPr>
                <w:rFonts w:hint="eastAsia" w:ascii="仿宋" w:hAnsi="仿宋" w:eastAsia="仿宋" w:cs="仿宋"/>
                <w:sz w:val="21"/>
              </w:rPr>
              <w:t>机电设备类</w:t>
            </w:r>
            <w:r>
              <w:rPr>
                <w:rFonts w:hint="eastAsia" w:ascii="仿宋" w:hAnsi="仿宋" w:eastAsia="仿宋" w:cs="仿宋"/>
                <w:sz w:val="21"/>
                <w:lang w:eastAsia="zh-CN"/>
              </w:rPr>
              <w:t>（</w:t>
            </w:r>
            <w:r>
              <w:rPr>
                <w:rFonts w:hint="eastAsia" w:ascii="仿宋" w:hAnsi="仿宋" w:eastAsia="仿宋" w:cs="仿宋"/>
                <w:sz w:val="21"/>
              </w:rPr>
              <w:t>260</w:t>
            </w:r>
            <w:r>
              <w:rPr>
                <w:rFonts w:hint="eastAsia" w:ascii="仿宋" w:hAnsi="仿宋" w:eastAsia="仿宋" w:cs="仿宋"/>
                <w:sz w:val="21"/>
                <w:lang w:val="en-US" w:eastAsia="zh-CN"/>
              </w:rPr>
              <w:t>2</w:t>
            </w:r>
            <w:r>
              <w:rPr>
                <w:rFonts w:hint="eastAsia" w:ascii="仿宋" w:hAnsi="仿宋" w:eastAsia="仿宋" w:cs="仿宋"/>
                <w:sz w:val="21"/>
                <w:lang w:eastAsia="zh-CN"/>
              </w:rPr>
              <w:t>）</w:t>
            </w:r>
          </w:p>
        </w:tc>
        <w:tc>
          <w:tcPr>
            <w:tcW w:w="1418" w:type="dxa"/>
            <w:vAlign w:val="center"/>
          </w:tcPr>
          <w:p>
            <w:pPr>
              <w:pStyle w:val="46"/>
              <w:keepNext w:val="0"/>
              <w:keepLines w:val="0"/>
              <w:suppressLineNumbers w:val="0"/>
              <w:spacing w:before="0" w:beforeAutospacing="0" w:after="0" w:afterAutospacing="0" w:line="240" w:lineRule="auto"/>
              <w:ind w:left="0" w:leftChars="0" w:right="0" w:rightChars="0" w:firstLine="0" w:firstLineChars="0"/>
              <w:rPr>
                <w:vertAlign w:val="baseline"/>
              </w:rPr>
            </w:pPr>
            <w:r>
              <w:rPr>
                <w:rFonts w:hint="eastAsia" w:ascii="仿宋" w:hAnsi="仿宋" w:eastAsia="仿宋" w:cs="仿宋"/>
                <w:sz w:val="21"/>
              </w:rPr>
              <w:t xml:space="preserve">通用设备制造业 </w:t>
            </w:r>
            <w:r>
              <w:rPr>
                <w:rFonts w:hint="eastAsia" w:ascii="仿宋" w:hAnsi="仿宋" w:eastAsia="仿宋" w:cs="仿宋"/>
                <w:sz w:val="21"/>
                <w:lang w:eastAsia="zh-CN"/>
              </w:rPr>
              <w:t>（</w:t>
            </w:r>
            <w:r>
              <w:rPr>
                <w:rFonts w:hint="eastAsia" w:ascii="仿宋" w:hAnsi="仿宋" w:eastAsia="仿宋" w:cs="仿宋"/>
                <w:sz w:val="21"/>
                <w:lang w:val="en-US" w:eastAsia="zh-CN"/>
              </w:rPr>
              <w:t>34</w:t>
            </w:r>
            <w:r>
              <w:rPr>
                <w:rFonts w:hint="eastAsia" w:ascii="仿宋" w:hAnsi="仿宋" w:eastAsia="仿宋" w:cs="仿宋"/>
                <w:sz w:val="21"/>
                <w:lang w:eastAsia="zh-CN"/>
              </w:rPr>
              <w:t>）；</w:t>
            </w:r>
            <w:r>
              <w:rPr>
                <w:rFonts w:hint="eastAsia" w:ascii="仿宋" w:hAnsi="仿宋" w:eastAsia="仿宋" w:cs="仿宋"/>
                <w:sz w:val="21"/>
                <w:lang w:val="en-US" w:eastAsia="zh-CN"/>
              </w:rPr>
              <w:t>专</w:t>
            </w:r>
            <w:r>
              <w:rPr>
                <w:rFonts w:hint="eastAsia" w:ascii="仿宋" w:hAnsi="仿宋" w:eastAsia="仿宋" w:cs="仿宋"/>
                <w:sz w:val="21"/>
              </w:rPr>
              <w:t xml:space="preserve">用设备制造业 </w:t>
            </w:r>
            <w:r>
              <w:rPr>
                <w:rFonts w:hint="eastAsia" w:ascii="仿宋" w:hAnsi="仿宋" w:eastAsia="仿宋" w:cs="仿宋"/>
                <w:sz w:val="21"/>
                <w:lang w:eastAsia="zh-CN"/>
              </w:rPr>
              <w:t>（</w:t>
            </w:r>
            <w:r>
              <w:rPr>
                <w:rFonts w:hint="eastAsia" w:ascii="仿宋" w:hAnsi="仿宋" w:eastAsia="仿宋" w:cs="仿宋"/>
                <w:sz w:val="21"/>
                <w:lang w:val="en-US" w:eastAsia="zh-CN"/>
              </w:rPr>
              <w:t>35</w:t>
            </w:r>
            <w:r>
              <w:rPr>
                <w:rFonts w:hint="eastAsia" w:ascii="仿宋" w:hAnsi="仿宋" w:eastAsia="仿宋" w:cs="仿宋"/>
                <w:sz w:val="21"/>
                <w:lang w:eastAsia="zh-CN"/>
              </w:rPr>
              <w:t>）；</w:t>
            </w:r>
            <w:r>
              <w:rPr>
                <w:rFonts w:hint="eastAsia" w:ascii="仿宋" w:hAnsi="仿宋" w:eastAsia="仿宋" w:cs="仿宋"/>
                <w:sz w:val="21"/>
                <w:lang w:val="en-US" w:eastAsia="zh-CN"/>
              </w:rPr>
              <w:t>汽车制造业（36）</w:t>
            </w:r>
          </w:p>
        </w:tc>
        <w:tc>
          <w:tcPr>
            <w:tcW w:w="1686" w:type="dxa"/>
            <w:vAlign w:val="center"/>
          </w:tcPr>
          <w:p>
            <w:pPr>
              <w:pStyle w:val="46"/>
              <w:keepNext w:val="0"/>
              <w:keepLines w:val="0"/>
              <w:suppressLineNumbers w:val="0"/>
              <w:spacing w:before="0" w:beforeAutospacing="0" w:after="0" w:afterAutospacing="0" w:line="240" w:lineRule="auto"/>
              <w:ind w:left="0" w:leftChars="0" w:right="0" w:rightChars="0" w:firstLine="0" w:firstLineChars="0"/>
              <w:rPr>
                <w:vertAlign w:val="baseline"/>
              </w:rPr>
            </w:pPr>
            <w:r>
              <w:rPr>
                <w:rFonts w:hint="eastAsia" w:ascii="仿宋" w:hAnsi="仿宋" w:eastAsia="仿宋" w:cs="仿宋"/>
                <w:sz w:val="21"/>
              </w:rPr>
              <w:t>设备工程技术人员(2-02-07-04)、自动控制工程技术人员(2-02-07-0</w:t>
            </w:r>
            <w:r>
              <w:rPr>
                <w:rFonts w:hint="eastAsia" w:ascii="仿宋" w:hAnsi="仿宋" w:eastAsia="仿宋" w:cs="仿宋"/>
                <w:sz w:val="21"/>
                <w:lang w:val="en-US" w:eastAsia="zh-CN"/>
              </w:rPr>
              <w:t>7</w:t>
            </w:r>
            <w:r>
              <w:rPr>
                <w:rFonts w:hint="eastAsia" w:ascii="仿宋" w:hAnsi="仿宋" w:eastAsia="仿宋" w:cs="仿宋"/>
                <w:sz w:val="21"/>
              </w:rPr>
              <w:t>)</w:t>
            </w:r>
            <w:r>
              <w:rPr>
                <w:rFonts w:hint="eastAsia" w:ascii="仿宋" w:hAnsi="仿宋" w:eastAsia="仿宋" w:cs="仿宋"/>
                <w:sz w:val="21"/>
                <w:lang w:val="en-US" w:eastAsia="zh-CN"/>
              </w:rPr>
              <w:t xml:space="preserve"> </w:t>
            </w:r>
          </w:p>
        </w:tc>
        <w:tc>
          <w:tcPr>
            <w:tcW w:w="1665" w:type="dxa"/>
            <w:vAlign w:val="center"/>
          </w:tcPr>
          <w:p>
            <w:pPr>
              <w:pStyle w:val="46"/>
              <w:keepNext w:val="0"/>
              <w:keepLines w:val="0"/>
              <w:suppressLineNumbers w:val="0"/>
              <w:spacing w:before="0" w:beforeAutospacing="0" w:after="0" w:afterAutospacing="0" w:line="240" w:lineRule="auto"/>
              <w:ind w:left="0" w:leftChars="0" w:right="0" w:rightChars="0" w:firstLine="0" w:firstLineChars="0"/>
              <w:rPr>
                <w:vertAlign w:val="baseline"/>
              </w:rPr>
            </w:pPr>
            <w:r>
              <w:rPr>
                <w:rFonts w:hint="eastAsia" w:ascii="仿宋" w:hAnsi="仿宋" w:eastAsia="仿宋" w:cs="仿宋"/>
                <w:sz w:val="21"/>
                <w:lang w:val="en-US" w:eastAsia="zh-CN"/>
              </w:rPr>
              <w:t>智能装备运维与管理岗群</w:t>
            </w:r>
            <w:r>
              <w:rPr>
                <w:rFonts w:hint="eastAsia" w:ascii="仿宋" w:hAnsi="仿宋" w:cs="仿宋"/>
                <w:sz w:val="21"/>
                <w:lang w:val="en-US" w:eastAsia="zh-CN"/>
              </w:rPr>
              <w:t>（智能产线/设备运维工程师、设备管理工程师）、智能装备应用与集成岗群（工业机器人应用工程师、自动化设备调试工程师）</w:t>
            </w:r>
          </w:p>
        </w:tc>
        <w:tc>
          <w:tcPr>
            <w:tcW w:w="1632" w:type="dxa"/>
            <w:vAlign w:val="center"/>
          </w:tcPr>
          <w:p>
            <w:pPr>
              <w:pStyle w:val="46"/>
              <w:keepNext w:val="0"/>
              <w:keepLines w:val="0"/>
              <w:suppressLineNumbers w:val="0"/>
              <w:spacing w:before="0" w:beforeAutospacing="0" w:after="0" w:afterAutospacing="0" w:line="240" w:lineRule="auto"/>
              <w:ind w:left="0" w:leftChars="0" w:right="0" w:rightChars="0" w:firstLine="0" w:firstLineChars="0"/>
              <w:rPr>
                <w:vertAlign w:val="baseline"/>
              </w:rPr>
            </w:pPr>
            <w:r>
              <w:rPr>
                <w:rFonts w:hint="eastAsia" w:ascii="仿宋" w:hAnsi="仿宋" w:eastAsia="仿宋" w:cs="仿宋"/>
                <w:sz w:val="21"/>
              </w:rPr>
              <w:t>数控设备维护与维修“1+X”</w:t>
            </w:r>
            <w:r>
              <w:rPr>
                <w:rFonts w:hint="eastAsia" w:ascii="仿宋" w:hAnsi="仿宋" w:eastAsia="仿宋" w:cs="仿宋"/>
                <w:sz w:val="21"/>
                <w:lang w:val="en-US" w:eastAsia="zh-CN"/>
              </w:rPr>
              <w:t>证书（高级）、低压电工作业上岗证、电工（中级）、电工（高级）。</w:t>
            </w:r>
          </w:p>
        </w:tc>
      </w:tr>
    </w:tbl>
    <w:p>
      <w:pPr>
        <w:pStyle w:val="2"/>
      </w:pPr>
    </w:p>
    <w:p>
      <w:pPr>
        <w:pStyle w:val="3"/>
        <w:bidi w:val="0"/>
        <w:rPr>
          <w:rFonts w:hint="default"/>
          <w:lang w:val="en-US" w:eastAsia="zh-CN"/>
        </w:rPr>
      </w:pPr>
      <w:bookmarkStart w:id="5" w:name="_Toc22636"/>
      <w:r>
        <w:rPr>
          <w:rFonts w:hint="eastAsia"/>
          <w:lang w:val="en-US" w:eastAsia="zh-CN"/>
        </w:rPr>
        <w:t>五、</w:t>
      </w:r>
      <w:r>
        <w:rPr>
          <w:rFonts w:hint="eastAsia"/>
        </w:rPr>
        <w:t>培养目标</w:t>
      </w:r>
      <w:r>
        <w:rPr>
          <w:rFonts w:hint="eastAsia"/>
          <w:lang w:val="en-US" w:eastAsia="zh-CN"/>
        </w:rPr>
        <w:t>与培养规格</w:t>
      </w:r>
      <w:bookmarkEnd w:id="5"/>
    </w:p>
    <w:p>
      <w:pPr>
        <w:pStyle w:val="2"/>
        <w:ind w:firstLine="562" w:firstLineChars="200"/>
        <w:rPr>
          <w:rFonts w:hint="eastAsia" w:ascii="仿宋_GB2312" w:hAnsi="仿宋_GB2312" w:eastAsia="仿宋_GB2312" w:cs="仿宋_GB2312"/>
          <w:sz w:val="28"/>
          <w:szCs w:val="36"/>
          <w:lang w:val="en-US" w:eastAsia="zh-CN"/>
        </w:rPr>
      </w:pPr>
      <w:bookmarkStart w:id="6" w:name="_Toc27622"/>
      <w:r>
        <w:rPr>
          <w:rFonts w:hint="eastAsia" w:ascii="仿宋_GB2312" w:hAnsi="仿宋_GB2312" w:eastAsia="仿宋_GB2312" w:cs="仿宋_GB2312"/>
          <w:sz w:val="28"/>
          <w:szCs w:val="36"/>
          <w:lang w:eastAsia="zh-CN"/>
        </w:rPr>
        <w:t>（</w:t>
      </w:r>
      <w:r>
        <w:rPr>
          <w:rFonts w:hint="eastAsia" w:ascii="仿宋_GB2312" w:hAnsi="仿宋_GB2312" w:eastAsia="仿宋_GB2312" w:cs="仿宋_GB2312"/>
          <w:sz w:val="28"/>
          <w:szCs w:val="36"/>
          <w:lang w:val="en-US" w:eastAsia="zh-CN"/>
        </w:rPr>
        <w:t>一</w:t>
      </w:r>
      <w:r>
        <w:rPr>
          <w:rFonts w:hint="eastAsia" w:ascii="仿宋_GB2312" w:hAnsi="仿宋_GB2312" w:eastAsia="仿宋_GB2312" w:cs="仿宋_GB2312"/>
          <w:sz w:val="28"/>
          <w:szCs w:val="36"/>
          <w:lang w:eastAsia="zh-CN"/>
        </w:rPr>
        <w:t>）</w:t>
      </w:r>
      <w:r>
        <w:rPr>
          <w:rFonts w:hint="eastAsia" w:ascii="仿宋_GB2312" w:hAnsi="仿宋_GB2312" w:eastAsia="仿宋_GB2312" w:cs="仿宋_GB2312"/>
          <w:sz w:val="28"/>
          <w:szCs w:val="36"/>
          <w:lang w:val="en-US" w:eastAsia="zh-CN"/>
        </w:rPr>
        <w:t>培养目标</w:t>
      </w:r>
      <w:bookmarkEnd w:id="6"/>
    </w:p>
    <w:p>
      <w:pPr>
        <w:bidi w:val="0"/>
        <w:rPr>
          <w:rFonts w:hint="eastAsia"/>
          <w:lang w:val="en-US" w:eastAsia="zh-CN"/>
        </w:rPr>
      </w:pPr>
      <w:r>
        <w:rPr>
          <w:rFonts w:hint="eastAsia"/>
          <w:lang w:val="en-US" w:eastAsia="zh-CN"/>
        </w:rPr>
        <w:t>立足柳州，辐射大湾区，紧密对接广西汽车与工程机械产业链智能化升级及大湾区高端装备创新需求，培养德智体美劳全面发展，具有崇高的理想信念、良好职业道德和精益求精的工匠精神，掌握扎实的机械工程基础、电气控制、工业网络通信等基础理论知识，具备装备工业机器人及自动化系统应用调试、工业互联网（SCADA/MES）平台部署与数据基础应用、智能装备运维与产线集成优化等能力，毕业后可从事智能装备的设计、调试、维修、技术服务和智能车间设备管理等工作，胜任智能装备制造工程师、装备集成工程师、设备运维工程师等岗位，同时具备将智能化技术成果转化为行业解决方案的实践能力，兼具较强的创新创业能力和可持续发展能力的“德技兼备，情理双修”的高端技能人才。</w:t>
      </w:r>
    </w:p>
    <w:p>
      <w:pPr>
        <w:pStyle w:val="2"/>
        <w:bidi w:val="0"/>
        <w:rPr>
          <w:rFonts w:hint="eastAsia"/>
          <w:lang w:eastAsia="zh-CN"/>
        </w:rPr>
      </w:pPr>
      <w:bookmarkStart w:id="7" w:name="_Toc31159"/>
      <w:r>
        <w:rPr>
          <w:rFonts w:hint="eastAsia"/>
          <w:lang w:val="en-US" w:eastAsia="zh-CN"/>
        </w:rPr>
        <w:t>（二）</w:t>
      </w:r>
      <w:r>
        <w:rPr>
          <w:rFonts w:hint="eastAsia"/>
          <w:lang w:eastAsia="zh-CN"/>
        </w:rPr>
        <w:t>培养规格</w:t>
      </w:r>
      <w:bookmarkEnd w:id="7"/>
    </w:p>
    <w:p>
      <w:pPr>
        <w:bidi w:val="0"/>
        <w:rPr>
          <w:rFonts w:hint="eastAsia"/>
        </w:rPr>
      </w:pPr>
      <w:r>
        <w:rPr>
          <w:rFonts w:hint="eastAsia"/>
          <w:lang w:val="en-US" w:eastAsia="zh-CN"/>
        </w:rPr>
        <w:t>培养规格</w:t>
      </w:r>
      <w:r>
        <w:rPr>
          <w:rFonts w:hint="eastAsia"/>
        </w:rPr>
        <w:t>支撑培养目标的实现，是学生在毕业时必须达成的能力要求。</w:t>
      </w:r>
    </w:p>
    <w:p>
      <w:pPr>
        <w:pStyle w:val="50"/>
        <w:bidi w:val="0"/>
      </w:pPr>
      <w:r>
        <w:rPr>
          <w:rFonts w:hint="eastAsia"/>
        </w:rPr>
        <w:t>表</w:t>
      </w:r>
      <w:r>
        <w:rPr>
          <w:rFonts w:hint="eastAsia"/>
          <w:lang w:val="en-US" w:eastAsia="zh-CN"/>
        </w:rPr>
        <w:t>5</w:t>
      </w:r>
      <w:r>
        <w:rPr>
          <w:rFonts w:hint="eastAsia"/>
        </w:rPr>
        <w:t>-1 装备智能化技术专业人才培养规格一览表</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3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pStyle w:val="48"/>
              <w:bidi w:val="0"/>
            </w:pPr>
            <w:r>
              <w:rPr>
                <w:rFonts w:hint="eastAsia"/>
              </w:rPr>
              <w:t>1.素质</w:t>
            </w:r>
          </w:p>
        </w:tc>
        <w:tc>
          <w:tcPr>
            <w:tcW w:w="6316" w:type="dxa"/>
            <w:vAlign w:val="center"/>
          </w:tcPr>
          <w:p>
            <w:pPr>
              <w:pStyle w:val="48"/>
              <w:bidi w:val="0"/>
              <w:rPr>
                <w:rFonts w:hint="eastAsia"/>
                <w:lang w:val="en-US" w:eastAsia="zh-CN"/>
              </w:rPr>
            </w:pPr>
            <w:r>
              <w:rPr>
                <w:rFonts w:hint="eastAsia"/>
                <w:lang w:val="en-US" w:eastAsia="zh-CN"/>
              </w:rPr>
              <w:t>1</w:t>
            </w:r>
            <w:r>
              <w:rPr>
                <w:rFonts w:hint="eastAsia"/>
              </w:rPr>
              <w:t>.1具有正确的政治、思想和道德是非辨别能力，以及社会责任感和职业道德</w:t>
            </w:r>
            <w:r>
              <w:rPr>
                <w:rFonts w:hint="eastAsia"/>
                <w:lang w:eastAsia="zh-CN"/>
              </w:rPr>
              <w:t>；</w:t>
            </w:r>
          </w:p>
          <w:p>
            <w:pPr>
              <w:pStyle w:val="48"/>
              <w:bidi w:val="0"/>
              <w:rPr>
                <w:rFonts w:hint="eastAsia"/>
                <w:lang w:val="en-US" w:eastAsia="zh-CN"/>
              </w:rPr>
            </w:pPr>
            <w:r>
              <w:rPr>
                <w:rFonts w:hint="eastAsia"/>
                <w:lang w:val="en-US" w:eastAsia="zh-CN"/>
              </w:rPr>
              <w:t>1</w:t>
            </w:r>
            <w:r>
              <w:rPr>
                <w:rFonts w:hint="eastAsia"/>
              </w:rPr>
              <w:t>.2具有良好的团队意识，与团队协调合作有效完成工作任务，具有较强的语言表达能力，良好的与人交流、跨文化交际能力</w:t>
            </w:r>
            <w:r>
              <w:rPr>
                <w:rFonts w:hint="eastAsia"/>
                <w:lang w:eastAsia="zh-CN"/>
              </w:rPr>
              <w:t>；</w:t>
            </w:r>
          </w:p>
          <w:p>
            <w:pPr>
              <w:pStyle w:val="48"/>
              <w:bidi w:val="0"/>
              <w:rPr>
                <w:rFonts w:hint="eastAsia"/>
                <w:lang w:val="en-US" w:eastAsia="zh-CN"/>
              </w:rPr>
            </w:pPr>
            <w:r>
              <w:rPr>
                <w:rFonts w:hint="eastAsia"/>
                <w:lang w:val="en-US" w:eastAsia="zh-CN"/>
              </w:rPr>
              <w:t>1</w:t>
            </w:r>
            <w:r>
              <w:rPr>
                <w:rFonts w:hint="eastAsia"/>
              </w:rPr>
              <w:t>.3具有学习新知识、新技术的方法能力，能把所学</w:t>
            </w:r>
            <w:r>
              <w:rPr>
                <w:rFonts w:hint="eastAsia"/>
                <w:lang w:val="en-US" w:eastAsia="zh-CN"/>
              </w:rPr>
              <w:t>智能制造装备技术</w:t>
            </w:r>
            <w:r>
              <w:rPr>
                <w:rFonts w:hint="eastAsia"/>
              </w:rPr>
              <w:t>知识和技能向其它领域迁移</w:t>
            </w:r>
            <w:r>
              <w:rPr>
                <w:rFonts w:hint="eastAsia"/>
                <w:lang w:eastAsia="zh-CN"/>
              </w:rPr>
              <w:t>；</w:t>
            </w:r>
          </w:p>
          <w:p>
            <w:pPr>
              <w:pStyle w:val="48"/>
              <w:bidi w:val="0"/>
              <w:rPr>
                <w:rFonts w:hint="eastAsia"/>
                <w:lang w:val="en-US" w:eastAsia="zh-CN"/>
              </w:rPr>
            </w:pPr>
            <w:r>
              <w:rPr>
                <w:rFonts w:hint="eastAsia"/>
                <w:lang w:val="en-US" w:eastAsia="zh-CN"/>
              </w:rPr>
              <w:t>1</w:t>
            </w:r>
            <w:r>
              <w:rPr>
                <w:rFonts w:hint="eastAsia"/>
              </w:rPr>
              <w:t>.4</w:t>
            </w:r>
            <w:r>
              <w:rPr>
                <w:rFonts w:hint="eastAsia"/>
                <w:lang w:val="en-US" w:eastAsia="zh-CN"/>
              </w:rPr>
              <w:t>具有实事求是、求真务实地完成工作任务的能力和实践探索、勇于创新、执着专注、精益求精、一丝不苟的科学精神；</w:t>
            </w:r>
          </w:p>
          <w:p>
            <w:pPr>
              <w:pStyle w:val="48"/>
              <w:bidi w:val="0"/>
            </w:pPr>
            <w:r>
              <w:rPr>
                <w:rFonts w:hint="eastAsia"/>
                <w:lang w:val="en-US" w:eastAsia="zh-CN"/>
              </w:rPr>
              <w:t>1</w:t>
            </w:r>
            <w:r>
              <w:rPr>
                <w:rFonts w:hint="eastAsia"/>
              </w:rPr>
              <w:t>.5能够自主学习，独立思考，能够认真细致地观察、发现、分析、解决问题的能力。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pStyle w:val="48"/>
              <w:bidi w:val="0"/>
            </w:pPr>
            <w:r>
              <w:rPr>
                <w:rFonts w:hint="eastAsia"/>
              </w:rPr>
              <w:t>2.知识</w:t>
            </w:r>
          </w:p>
        </w:tc>
        <w:tc>
          <w:tcPr>
            <w:tcW w:w="6316" w:type="dxa"/>
            <w:vAlign w:val="center"/>
          </w:tcPr>
          <w:p>
            <w:pPr>
              <w:pStyle w:val="48"/>
              <w:bidi w:val="0"/>
              <w:rPr>
                <w:rFonts w:hint="eastAsia"/>
              </w:rPr>
            </w:pPr>
            <w:r>
              <w:t>2.1</w:t>
            </w:r>
            <w:r>
              <w:rPr>
                <w:rFonts w:hint="eastAsia"/>
              </w:rPr>
              <w:t>理解机械工程制图标准、电工电子技术基本原理、机械传动与机构特性、电气控制回路设计规范等基础理论；</w:t>
            </w:r>
          </w:p>
          <w:p>
            <w:pPr>
              <w:pStyle w:val="48"/>
              <w:bidi w:val="0"/>
              <w:rPr>
                <w:rFonts w:hint="eastAsia"/>
                <w:lang w:val="en-US" w:eastAsia="zh-CN"/>
              </w:rPr>
            </w:pPr>
            <w:r>
              <w:rPr>
                <w:rFonts w:hint="eastAsia"/>
                <w:lang w:val="en-US" w:eastAsia="zh-CN"/>
              </w:rPr>
              <w:t>2.2理解</w:t>
            </w:r>
            <w:r>
              <w:rPr>
                <w:rFonts w:hint="eastAsia"/>
              </w:rPr>
              <w:t>典型传感器</w:t>
            </w:r>
            <w:r>
              <w:rPr>
                <w:rFonts w:hint="eastAsia"/>
                <w:lang w:eastAsia="zh-CN"/>
              </w:rPr>
              <w:t>、</w:t>
            </w:r>
            <w:r>
              <w:rPr>
                <w:rFonts w:hint="eastAsia"/>
                <w:lang w:val="en-US" w:eastAsia="zh-CN"/>
              </w:rPr>
              <w:t>工业相机以及各种智能检测设备</w:t>
            </w:r>
            <w:r>
              <w:rPr>
                <w:rFonts w:hint="eastAsia"/>
              </w:rPr>
              <w:t>的工作原理及应用</w:t>
            </w:r>
            <w:r>
              <w:rPr>
                <w:rFonts w:hint="eastAsia"/>
                <w:lang w:eastAsia="zh-CN"/>
              </w:rPr>
              <w:t>；</w:t>
            </w:r>
          </w:p>
          <w:p>
            <w:pPr>
              <w:pStyle w:val="48"/>
              <w:bidi w:val="0"/>
              <w:rPr>
                <w:rFonts w:hint="default"/>
                <w:lang w:val="en-US" w:eastAsia="zh-CN"/>
              </w:rPr>
            </w:pPr>
            <w:r>
              <w:rPr>
                <w:rFonts w:hint="eastAsia"/>
                <w:lang w:val="en-US" w:eastAsia="zh-CN"/>
              </w:rPr>
              <w:t>2.3理解PLC、变频器、伺服系统、气动/液压元件的工作逻辑与控制特性；</w:t>
            </w:r>
          </w:p>
          <w:p>
            <w:pPr>
              <w:pStyle w:val="48"/>
              <w:bidi w:val="0"/>
              <w:rPr>
                <w:rFonts w:hint="eastAsia"/>
              </w:rPr>
            </w:pPr>
            <w:r>
              <w:rPr>
                <w:rFonts w:hint="eastAsia"/>
                <w:lang w:val="en-US" w:eastAsia="zh-CN"/>
              </w:rPr>
              <w:t>2.4熟悉</w:t>
            </w:r>
            <w:r>
              <w:rPr>
                <w:rFonts w:hint="eastAsia"/>
              </w:rPr>
              <w:t>面向汽车/机械制造工艺的机器人工作站布局与任务流程；</w:t>
            </w:r>
          </w:p>
          <w:p>
            <w:pPr>
              <w:pStyle w:val="48"/>
              <w:bidi w:val="0"/>
              <w:rPr>
                <w:rFonts w:hint="default"/>
                <w:lang w:val="en-US" w:eastAsia="zh-CN"/>
              </w:rPr>
            </w:pPr>
            <w:r>
              <w:rPr>
                <w:rFonts w:hint="eastAsia"/>
                <w:lang w:val="en-US" w:eastAsia="zh-CN"/>
              </w:rPr>
              <w:t>2.5熟悉制造执行系统（MES）的生产调度、质量追溯、设备管理等核心模块设计流程；</w:t>
            </w:r>
          </w:p>
          <w:p>
            <w:pPr>
              <w:pStyle w:val="48"/>
              <w:bidi w:val="0"/>
              <w:rPr>
                <w:rFonts w:hint="eastAsia"/>
                <w:lang w:val="en-US" w:eastAsia="zh-CN"/>
              </w:rPr>
            </w:pPr>
            <w:r>
              <w:rPr>
                <w:rFonts w:hint="eastAsia"/>
                <w:lang w:val="en-US" w:eastAsia="zh-CN"/>
              </w:rPr>
              <w:t>2.6掌握工业机器人、数控机床、AGV等智能装备的装调、故障诊断、通讯以及升级改造方法；</w:t>
            </w:r>
          </w:p>
          <w:p>
            <w:pPr>
              <w:pStyle w:val="48"/>
              <w:bidi w:val="0"/>
              <w:rPr>
                <w:rFonts w:hint="eastAsia"/>
                <w:lang w:val="en-US" w:eastAsia="zh-CN"/>
              </w:rPr>
            </w:pPr>
            <w:r>
              <w:rPr>
                <w:rFonts w:hint="eastAsia"/>
                <w:lang w:val="en-US" w:eastAsia="zh-CN"/>
              </w:rPr>
              <w:t>2.7 掌握智能生产线的信号采集的工作原理、数据分析及数据使用方法；</w:t>
            </w:r>
          </w:p>
          <w:p>
            <w:pPr>
              <w:pStyle w:val="48"/>
              <w:bidi w:val="0"/>
              <w:rPr>
                <w:rFonts w:hint="eastAsia"/>
                <w:lang w:val="en-US" w:eastAsia="zh-CN"/>
              </w:rPr>
            </w:pPr>
            <w:r>
              <w:rPr>
                <w:rFonts w:hint="eastAsia"/>
                <w:lang w:val="en-US" w:eastAsia="zh-CN"/>
              </w:rPr>
              <w:t>2.8熟悉人机环境交互系统、智能移动装备系统开发方法；</w:t>
            </w:r>
          </w:p>
          <w:p>
            <w:pPr>
              <w:pStyle w:val="48"/>
              <w:bidi w:val="0"/>
              <w:rPr>
                <w:rFonts w:hint="eastAsia"/>
                <w:lang w:val="en-US" w:eastAsia="zh-CN"/>
              </w:rPr>
            </w:pPr>
            <w:r>
              <w:rPr>
                <w:rFonts w:hint="eastAsia"/>
                <w:lang w:val="en-US" w:eastAsia="zh-CN"/>
              </w:rPr>
              <w:t>2.9 掌握生产数字化监控原理与可视化系统开发。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80" w:type="dxa"/>
            <w:vAlign w:val="center"/>
          </w:tcPr>
          <w:p>
            <w:pPr>
              <w:pStyle w:val="48"/>
              <w:bidi w:val="0"/>
            </w:pPr>
            <w:r>
              <w:rPr>
                <w:rFonts w:hint="eastAsia"/>
              </w:rPr>
              <w:t>3.能力</w:t>
            </w:r>
          </w:p>
        </w:tc>
        <w:tc>
          <w:tcPr>
            <w:tcW w:w="6316" w:type="dxa"/>
            <w:vAlign w:val="center"/>
          </w:tcPr>
          <w:p>
            <w:pPr>
              <w:pStyle w:val="48"/>
              <w:bidi w:val="0"/>
              <w:rPr>
                <w:rFonts w:hint="eastAsia"/>
                <w:lang w:val="en-US" w:eastAsia="zh-CN"/>
              </w:rPr>
            </w:pPr>
            <w:r>
              <w:rPr>
                <w:rFonts w:hint="eastAsia"/>
                <w:lang w:val="en-US" w:eastAsia="zh-CN"/>
              </w:rPr>
              <w:t>3.1能根据零部件生产工艺要求，完成机器人工作站布局设计与任务流程编程；</w:t>
            </w:r>
          </w:p>
          <w:p>
            <w:pPr>
              <w:pStyle w:val="48"/>
              <w:bidi w:val="0"/>
              <w:rPr>
                <w:rFonts w:hint="default"/>
                <w:lang w:val="en-US" w:eastAsia="zh-CN"/>
              </w:rPr>
            </w:pPr>
            <w:r>
              <w:rPr>
                <w:rFonts w:hint="eastAsia"/>
                <w:lang w:val="en-US" w:eastAsia="zh-CN"/>
              </w:rPr>
              <w:t>3.2能依据产线节拍需求，实施智能装备装备的协同调度集成。</w:t>
            </w:r>
          </w:p>
          <w:p>
            <w:pPr>
              <w:pStyle w:val="48"/>
              <w:bidi w:val="0"/>
              <w:rPr>
                <w:rFonts w:hint="eastAsia"/>
                <w:lang w:val="en-US" w:eastAsia="zh-CN"/>
              </w:rPr>
            </w:pPr>
            <w:r>
              <w:rPr>
                <w:rFonts w:hint="eastAsia"/>
                <w:lang w:val="en-US" w:eastAsia="zh-CN"/>
              </w:rPr>
              <w:t>3.3能针对设备运行异常数据，制定预测性维护策略与故障诊断方案；</w:t>
            </w:r>
          </w:p>
          <w:p>
            <w:pPr>
              <w:pStyle w:val="48"/>
              <w:bidi w:val="0"/>
              <w:rPr>
                <w:rFonts w:hint="eastAsia"/>
                <w:lang w:val="en-US" w:eastAsia="zh-CN"/>
              </w:rPr>
            </w:pPr>
            <w:r>
              <w:rPr>
                <w:rFonts w:hint="eastAsia"/>
                <w:lang w:val="en-US" w:eastAsia="zh-CN"/>
              </w:rPr>
              <w:t>3.4能基于生产追溯与质量管控需求，部署数据采集系统并实现MES核心模块功能配置。</w:t>
            </w:r>
          </w:p>
          <w:p>
            <w:pPr>
              <w:pStyle w:val="48"/>
              <w:bidi w:val="0"/>
              <w:rPr>
                <w:rFonts w:hint="eastAsia"/>
                <w:lang w:val="en-US" w:eastAsia="zh-CN"/>
              </w:rPr>
            </w:pPr>
            <w:r>
              <w:rPr>
                <w:rFonts w:hint="eastAsia"/>
                <w:lang w:val="en-US" w:eastAsia="zh-CN"/>
              </w:rPr>
              <w:t>3.5能结合生产过程优化需求，开发工业软件完成控制系统数据采集与运用；</w:t>
            </w:r>
          </w:p>
          <w:p>
            <w:pPr>
              <w:pStyle w:val="48"/>
              <w:bidi w:val="0"/>
              <w:rPr>
                <w:rFonts w:hint="eastAsia"/>
                <w:lang w:val="en-US" w:eastAsia="zh-CN"/>
              </w:rPr>
            </w:pPr>
            <w:r>
              <w:rPr>
                <w:rFonts w:hint="eastAsia"/>
                <w:lang w:val="en-US" w:eastAsia="zh-CN"/>
              </w:rPr>
              <w:t>3.6能针对柔性制造需求，应用数字孪生技术验证产线布局与物流路径方案；</w:t>
            </w:r>
          </w:p>
          <w:p>
            <w:pPr>
              <w:pStyle w:val="48"/>
              <w:bidi w:val="0"/>
              <w:rPr>
                <w:rFonts w:hint="eastAsia"/>
                <w:lang w:val="en-US" w:eastAsia="zh-CN"/>
              </w:rPr>
            </w:pPr>
            <w:r>
              <w:rPr>
                <w:rFonts w:hint="eastAsia"/>
                <w:lang w:val="en-US" w:eastAsia="zh-CN"/>
              </w:rPr>
              <w:t>3.7能参照行业技术规范，编制智能装备装调与运维标准化作业规程；</w:t>
            </w:r>
          </w:p>
          <w:p>
            <w:pPr>
              <w:pStyle w:val="48"/>
              <w:bidi w:val="0"/>
              <w:rPr>
                <w:rFonts w:hint="eastAsia"/>
                <w:lang w:val="en-US" w:eastAsia="zh-CN"/>
              </w:rPr>
            </w:pPr>
            <w:r>
              <w:rPr>
                <w:rFonts w:hint="eastAsia"/>
                <w:lang w:val="en-US" w:eastAsia="zh-CN"/>
              </w:rPr>
              <w:t>3.8能面向智能车间设备以及</w:t>
            </w:r>
            <w:r>
              <w:rPr>
                <w:rFonts w:hint="eastAsia" w:ascii="仿宋" w:hAnsi="仿宋" w:eastAsia="仿宋" w:cs="仿宋"/>
                <w:sz w:val="24"/>
                <w:szCs w:val="32"/>
                <w:lang w:val="en-US" w:eastAsia="zh-CN"/>
              </w:rPr>
              <w:t>智能制造系统</w:t>
            </w:r>
            <w:r>
              <w:rPr>
                <w:rFonts w:hint="eastAsia" w:ascii="仿宋" w:hAnsi="仿宋" w:cs="仿宋"/>
                <w:sz w:val="24"/>
                <w:szCs w:val="32"/>
                <w:lang w:val="en-US" w:eastAsia="zh-CN"/>
              </w:rPr>
              <w:t>进行管理、维护、技术支持、技术培训等能力</w:t>
            </w:r>
            <w:r>
              <w:rPr>
                <w:rFonts w:hint="eastAsia"/>
                <w:lang w:val="en-US" w:eastAsia="zh-CN"/>
              </w:rPr>
              <w:t>；</w:t>
            </w:r>
          </w:p>
          <w:p>
            <w:pPr>
              <w:pStyle w:val="48"/>
              <w:bidi w:val="0"/>
              <w:rPr>
                <w:rFonts w:hint="eastAsia"/>
                <w:lang w:val="en-US" w:eastAsia="zh-CN"/>
              </w:rPr>
            </w:pPr>
            <w:r>
              <w:rPr>
                <w:rFonts w:hint="eastAsia"/>
                <w:lang w:val="en-US" w:eastAsia="zh-CN"/>
              </w:rPr>
              <w:t xml:space="preserve">3.9 </w:t>
            </w:r>
            <w:r>
              <w:t>能</w:t>
            </w:r>
            <w:r>
              <w:rPr>
                <w:rFonts w:hint="eastAsia"/>
                <w:lang w:val="en-US" w:eastAsia="zh-CN"/>
              </w:rPr>
              <w:t>查阅智能装备外文技术文档以及</w:t>
            </w:r>
            <w:r>
              <w:t>正确解读国际标准</w:t>
            </w:r>
            <w:r>
              <w:rPr>
                <w:rFonts w:hint="eastAsia"/>
                <w:lang w:eastAsia="zh-CN"/>
              </w:rPr>
              <w:t>。</w:t>
            </w:r>
          </w:p>
        </w:tc>
      </w:tr>
    </w:tbl>
    <w:p>
      <w:pPr>
        <w:rPr>
          <w:rFonts w:hint="eastAsia"/>
        </w:rPr>
      </w:pPr>
    </w:p>
    <w:p>
      <w:pPr>
        <w:rPr>
          <w:rFonts w:hint="eastAsia" w:ascii="黑体" w:hAnsi="黑体" w:eastAsia="黑体" w:cs="黑体"/>
          <w:sz w:val="30"/>
          <w:szCs w:val="30"/>
          <w:lang w:val="en-US" w:eastAsia="zh-CN"/>
        </w:rPr>
      </w:pPr>
      <w:bookmarkStart w:id="8" w:name="_Toc27196"/>
      <w:r>
        <w:rPr>
          <w:rFonts w:hint="eastAsia" w:ascii="黑体" w:hAnsi="黑体" w:eastAsia="黑体" w:cs="黑体"/>
          <w:sz w:val="30"/>
          <w:szCs w:val="30"/>
          <w:lang w:val="en-US" w:eastAsia="zh-CN"/>
        </w:rPr>
        <w:br w:type="page"/>
      </w:r>
    </w:p>
    <w:p>
      <w:pPr>
        <w:pStyle w:val="3"/>
        <w:bidi w:val="0"/>
        <w:rPr>
          <w:rFonts w:hint="eastAsia"/>
          <w:lang w:val="en-US" w:eastAsia="zh-CN"/>
        </w:rPr>
        <w:sectPr>
          <w:footerReference r:id="rId5" w:type="default"/>
          <w:pgSz w:w="11906" w:h="16838"/>
          <w:pgMar w:top="1440" w:right="1800" w:bottom="1440" w:left="1800" w:header="851" w:footer="992" w:gutter="0"/>
          <w:pgNumType w:fmt="decimal" w:start="1"/>
          <w:cols w:space="425" w:num="1"/>
          <w:docGrid w:type="lines" w:linePitch="312" w:charSpace="0"/>
        </w:sectPr>
      </w:pPr>
    </w:p>
    <w:p>
      <w:pPr>
        <w:pStyle w:val="3"/>
        <w:bidi w:val="0"/>
        <w:rPr>
          <w:rFonts w:hint="default"/>
          <w:lang w:val="en-US" w:eastAsia="zh-CN"/>
        </w:rPr>
      </w:pPr>
      <w:r>
        <w:rPr>
          <w:rFonts w:hint="eastAsia"/>
          <w:lang w:val="en-US" w:eastAsia="zh-CN"/>
        </w:rPr>
        <w:t>六、课程设置及要求</w:t>
      </w:r>
      <w:bookmarkEnd w:id="8"/>
    </w:p>
    <w:p>
      <w:pPr>
        <w:pStyle w:val="2"/>
        <w:bidi w:val="0"/>
        <w:rPr>
          <w:rFonts w:hint="default"/>
          <w:lang w:val="en-US" w:eastAsia="zh-CN"/>
        </w:rPr>
      </w:pPr>
      <w:bookmarkStart w:id="9" w:name="_Toc12977"/>
      <w:r>
        <w:rPr>
          <w:rFonts w:hint="eastAsia"/>
          <w:lang w:val="en-US" w:eastAsia="zh-CN"/>
        </w:rPr>
        <w:t>（一）课程体系</w:t>
      </w:r>
      <w:bookmarkEnd w:id="9"/>
    </w:p>
    <w:p>
      <w:pPr>
        <w:bidi w:val="0"/>
        <w:rPr>
          <w:rFonts w:hint="eastAsia"/>
        </w:rPr>
      </w:pPr>
      <w:r>
        <w:rPr>
          <w:rFonts w:hint="eastAsia"/>
          <w:lang w:val="en-US" w:eastAsia="zh-CN"/>
        </w:rPr>
        <w:t>1.</w:t>
      </w:r>
      <w:r>
        <w:rPr>
          <w:rFonts w:hint="eastAsia"/>
        </w:rPr>
        <w:t>课程体系结构</w:t>
      </w:r>
    </w:p>
    <w:p>
      <w:pPr>
        <w:pStyle w:val="50"/>
        <w:bidi w:val="0"/>
        <w:rPr>
          <w:rFonts w:hint="eastAsia"/>
        </w:rPr>
      </w:pPr>
      <w:r>
        <w:drawing>
          <wp:inline distT="0" distB="0" distL="114300" distR="114300">
            <wp:extent cx="5221605" cy="3542030"/>
            <wp:effectExtent l="0" t="0" r="10795"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21605" cy="3542030"/>
                    </a:xfrm>
                    <a:prstGeom prst="rect">
                      <a:avLst/>
                    </a:prstGeom>
                    <a:noFill/>
                    <a:ln>
                      <a:noFill/>
                    </a:ln>
                  </pic:spPr>
                </pic:pic>
              </a:graphicData>
            </a:graphic>
          </wp:inline>
        </w:drawing>
      </w:r>
    </w:p>
    <w:p>
      <w:pPr>
        <w:pStyle w:val="50"/>
        <w:bidi w:val="0"/>
      </w:pPr>
    </w:p>
    <w:p>
      <w:pPr>
        <w:pStyle w:val="50"/>
        <w:bidi w:val="0"/>
        <w:rPr>
          <w:rFonts w:hint="eastAsia"/>
          <w:lang w:val="en-US" w:eastAsia="zh-CN"/>
        </w:rPr>
      </w:pPr>
      <w:r>
        <w:rPr>
          <w:rFonts w:hint="eastAsia"/>
          <w:lang w:val="en-US" w:eastAsia="zh-CN"/>
        </w:rPr>
        <w:t>图6-1 课程体系拓扑图</w:t>
      </w:r>
    </w:p>
    <w:p>
      <w:pPr>
        <w:rPr>
          <w:rFonts w:hint="eastAsia"/>
          <w:lang w:val="en-US" w:eastAsia="zh-CN"/>
        </w:rPr>
      </w:pPr>
      <w:r>
        <w:rPr>
          <w:rFonts w:hint="eastAsia"/>
          <w:lang w:val="en-US" w:eastAsia="zh-CN"/>
        </w:rPr>
        <w:br w:type="page"/>
      </w:r>
    </w:p>
    <w:p>
      <w:pPr>
        <w:rPr>
          <w:rFonts w:hint="eastAsia"/>
          <w:lang w:val="en-US" w:eastAsia="zh-CN"/>
        </w:rPr>
        <w:sectPr>
          <w:pgSz w:w="16838" w:h="11906" w:orient="landscape"/>
          <w:pgMar w:top="1800" w:right="1440" w:bottom="1800" w:left="1440" w:header="851" w:footer="992" w:gutter="0"/>
          <w:pgNumType w:fmt="decimal"/>
          <w:cols w:space="425" w:num="1"/>
          <w:docGrid w:type="lines" w:linePitch="312" w:charSpace="0"/>
        </w:sectPr>
      </w:pPr>
    </w:p>
    <w:p>
      <w:pPr>
        <w:pStyle w:val="50"/>
        <w:bidi w:val="0"/>
        <w:rPr>
          <w:rFonts w:hint="eastAsia"/>
          <w:lang w:eastAsia="zh-CN"/>
        </w:rPr>
      </w:pPr>
      <w:r>
        <w:drawing>
          <wp:inline distT="0" distB="0" distL="114300" distR="114300">
            <wp:extent cx="7772400" cy="4814570"/>
            <wp:effectExtent l="0" t="0" r="0" b="1143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1"/>
                    <a:stretch>
                      <a:fillRect/>
                    </a:stretch>
                  </pic:blipFill>
                  <pic:spPr>
                    <a:xfrm>
                      <a:off x="0" y="0"/>
                      <a:ext cx="7772400" cy="4814570"/>
                    </a:xfrm>
                    <a:prstGeom prst="rect">
                      <a:avLst/>
                    </a:prstGeom>
                    <a:noFill/>
                    <a:ln>
                      <a:noFill/>
                    </a:ln>
                  </pic:spPr>
                </pic:pic>
              </a:graphicData>
            </a:graphic>
          </wp:inline>
        </w:drawing>
      </w:r>
    </w:p>
    <w:p>
      <w:pPr>
        <w:pStyle w:val="50"/>
        <w:bidi w:val="0"/>
        <w:rPr>
          <w:rFonts w:hint="eastAsia"/>
          <w:lang w:val="en-US" w:eastAsia="zh-CN"/>
        </w:rPr>
      </w:pPr>
      <w:r>
        <w:rPr>
          <w:rFonts w:hint="eastAsia"/>
          <w:lang w:val="en-US" w:eastAsia="zh-CN"/>
        </w:rPr>
        <w:t>图6-2 课程地图</w:t>
      </w:r>
    </w:p>
    <w:p>
      <w:pPr>
        <w:bidi w:val="0"/>
        <w:rPr>
          <w:rFonts w:hint="eastAsia"/>
          <w:lang w:val="en-US" w:eastAsia="zh-CN"/>
        </w:rPr>
      </w:pPr>
      <w:r>
        <w:rPr>
          <w:rFonts w:hint="eastAsia"/>
          <w:lang w:val="en-US" w:eastAsia="zh-CN"/>
        </w:rPr>
        <w:t>本专业课程体系围绕“国际化智能装备现场工程师”培养目标，构建“三线三递进”人才培养模式，以“精操作、懂工艺、会管理、善协作、能创新”五维能力为核心，通过“技能线-管理线-创新线”三线并行实现能力递进培养。</w:t>
      </w:r>
    </w:p>
    <w:p>
      <w:pPr>
        <w:bidi w:val="0"/>
        <w:rPr>
          <w:rFonts w:hint="eastAsia"/>
          <w:lang w:val="en-US" w:eastAsia="zh-CN"/>
        </w:rPr>
      </w:pPr>
      <w:r>
        <w:rPr>
          <w:rFonts w:hint="eastAsia"/>
          <w:lang w:val="en-US" w:eastAsia="zh-CN"/>
        </w:rPr>
        <w:t>课程采用分层递进设计：在专业基础层设置机械制图、工程力学等共性技术模块，培养学生装备结构认知和电路图识读能力；在核心能力层开设工业机器人应用、传感器与视觉检测等专业化技术课程，强化机器人工作站调试和视觉质检系统部署等核心技能；在综合应用层通过智能焊接产线集成、工业APP开发等跨领域创新课程，提升学生产线数字化改造方案设计和创新项目交付能力。</w:t>
      </w:r>
    </w:p>
    <w:p>
      <w:pPr>
        <w:bidi w:val="0"/>
        <w:rPr>
          <w:rFonts w:hint="eastAsia"/>
          <w:lang w:val="en-US" w:eastAsia="zh-CN"/>
        </w:rPr>
      </w:pPr>
      <w:r>
        <w:rPr>
          <w:rFonts w:hint="eastAsia"/>
          <w:lang w:val="en-US" w:eastAsia="zh-CN"/>
        </w:rPr>
        <w:t>通过“基础技能标准化→核心能力场景化→综合创新产业化”三级培养路径，聚焦培养能胜任智能装备集成调试、跨系统协同优化和国际标准落地的高层次技术技能人才，为柳州-大湾区智能制造产业带发展提供人才支撑。课程体系突出“专业基础能力获得、核心能力提升、综合能力训练”的递进特征，并设置设备预防维修、数字化设计与仿真等拓展课程，全面提升学生的创新创业能力和可持续发展能力。</w:t>
      </w:r>
    </w:p>
    <w:p>
      <w:pPr>
        <w:bidi w:val="0"/>
        <w:rPr>
          <w:rFonts w:hint="eastAsia"/>
          <w:lang w:val="en-US" w:eastAsia="zh-CN"/>
        </w:rPr>
        <w:sectPr>
          <w:pgSz w:w="16838" w:h="11906" w:orient="landscape"/>
          <w:pgMar w:top="1800" w:right="1440" w:bottom="1800" w:left="1440" w:header="851" w:footer="992" w:gutter="0"/>
          <w:pgNumType w:fmt="decimal"/>
          <w:cols w:space="425" w:num="1"/>
          <w:docGrid w:type="lines" w:linePitch="312" w:charSpace="0"/>
        </w:sectPr>
      </w:pPr>
    </w:p>
    <w:p>
      <w:pPr>
        <w:bidi w:val="0"/>
        <w:rPr>
          <w:rFonts w:hint="eastAsia"/>
          <w:lang w:val="en-US" w:eastAsia="zh-CN"/>
        </w:rPr>
      </w:pPr>
      <w:r>
        <w:rPr>
          <w:rFonts w:hint="eastAsia"/>
          <w:lang w:val="en-US" w:eastAsia="zh-CN"/>
        </w:rPr>
        <w:t>2.课程矩阵</w:t>
      </w:r>
    </w:p>
    <w:p>
      <w:pPr>
        <w:bidi w:val="0"/>
        <w:rPr>
          <w:rFonts w:hint="default"/>
          <w:lang w:val="en-US" w:eastAsia="zh-CN"/>
        </w:rPr>
      </w:pPr>
      <w:r>
        <w:rPr>
          <w:rFonts w:hint="eastAsia"/>
        </w:rPr>
        <w:t>用</w:t>
      </w:r>
      <w:r>
        <w:rPr>
          <w:rFonts w:hint="eastAsia"/>
          <w:lang w:val="en-US" w:eastAsia="zh-CN"/>
        </w:rPr>
        <w:t>课程矩阵</w:t>
      </w:r>
      <w:r>
        <w:rPr>
          <w:rFonts w:hint="eastAsia"/>
        </w:rPr>
        <w:t>的方式</w:t>
      </w:r>
      <w:r>
        <w:rPr>
          <w:rFonts w:hint="eastAsia"/>
          <w:lang w:val="en-US" w:eastAsia="zh-CN"/>
        </w:rPr>
        <w:t>呈现各门课程对培养规格实现的支撑度。包含通识课和专业课。</w:t>
      </w:r>
    </w:p>
    <w:p>
      <w:pPr>
        <w:pStyle w:val="50"/>
        <w:bidi w:val="0"/>
      </w:pPr>
      <w:r>
        <w:rPr>
          <w:rFonts w:hint="eastAsia"/>
          <w:lang w:val="en-US" w:eastAsia="zh-CN"/>
        </w:rPr>
        <w:t>表：6-1</w:t>
      </w:r>
      <w:r>
        <w:rPr>
          <w:rFonts w:hint="eastAsia"/>
        </w:rPr>
        <w:t>课程矩阵</w:t>
      </w:r>
    </w:p>
    <w:tbl>
      <w:tblPr>
        <w:tblStyle w:val="15"/>
        <w:tblW w:w="14536" w:type="dxa"/>
        <w:tblInd w:w="-345"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8"/>
        <w:gridCol w:w="1988"/>
        <w:gridCol w:w="520"/>
        <w:gridCol w:w="520"/>
        <w:gridCol w:w="520"/>
        <w:gridCol w:w="520"/>
        <w:gridCol w:w="520"/>
        <w:gridCol w:w="520"/>
        <w:gridCol w:w="520"/>
        <w:gridCol w:w="520"/>
        <w:gridCol w:w="520"/>
        <w:gridCol w:w="520"/>
        <w:gridCol w:w="520"/>
        <w:gridCol w:w="520"/>
        <w:gridCol w:w="520"/>
        <w:gridCol w:w="520"/>
        <w:gridCol w:w="520"/>
        <w:gridCol w:w="520"/>
        <w:gridCol w:w="520"/>
        <w:gridCol w:w="520"/>
        <w:gridCol w:w="520"/>
        <w:gridCol w:w="520"/>
        <w:gridCol w:w="520"/>
        <w:gridCol w:w="520"/>
        <w:gridCol w:w="5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79" w:hRule="atLeast"/>
          <w:tblHeader/>
        </w:trPr>
        <w:tc>
          <w:tcPr>
            <w:tcW w:w="2576" w:type="dxa"/>
            <w:gridSpan w:val="2"/>
            <w:tcBorders>
              <w:top w:val="single" w:color="auto" w:sz="4" w:space="0"/>
              <w:left w:val="single" w:color="auto" w:sz="4" w:space="0"/>
              <w:bottom w:val="single" w:color="auto" w:sz="4" w:space="0"/>
              <w:right w:val="single" w:color="auto" w:sz="4" w:space="0"/>
              <w:tl2br w:val="single" w:color="000000" w:sz="8" w:space="0"/>
            </w:tcBorders>
            <w:shd w:val="clear" w:color="auto" w:fill="auto"/>
            <w:vAlign w:val="top"/>
          </w:tcPr>
          <w:p>
            <w:pPr>
              <w:pStyle w:val="48"/>
              <w:bidi w:val="0"/>
              <w:ind w:firstLine="1200" w:firstLineChars="500"/>
              <w:rPr>
                <w:rFonts w:hint="default"/>
                <w:lang w:val="en-US"/>
              </w:rPr>
            </w:pPr>
            <w:r>
              <w:rPr>
                <w:rFonts w:hint="eastAsia"/>
                <w:lang w:val="en-US" w:eastAsia="zh-CN"/>
              </w:rPr>
              <w:t>培养规格</w:t>
            </w:r>
          </w:p>
          <w:p>
            <w:pPr>
              <w:pStyle w:val="48"/>
              <w:bidi w:val="0"/>
              <w:rPr>
                <w:rFonts w:hint="default"/>
                <w:lang w:val="en-US"/>
              </w:rPr>
            </w:pPr>
            <w:r>
              <w:rPr>
                <w:rFonts w:hint="eastAsia"/>
                <w:lang w:val="en-US" w:eastAsia="zh-CN"/>
              </w:rPr>
              <w:t>课程名称</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1.1</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1.2</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1.3</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1.4</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1.5</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2.1</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2.2</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2.3</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2.4</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2.5</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2.6</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2.7</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2.8</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2.9</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3.1</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3.2</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3.3</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3.4</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w:t>
            </w:r>
            <w:r>
              <w:rPr>
                <w:rFonts w:hint="eastAsia"/>
                <w:lang w:val="en-US" w:eastAsia="zh-CN"/>
              </w:rPr>
              <w:t>5</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w:t>
            </w:r>
            <w:r>
              <w:rPr>
                <w:rFonts w:hint="eastAsia"/>
                <w:lang w:val="en-US" w:eastAsia="zh-CN"/>
              </w:rPr>
              <w:t>6</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w:t>
            </w:r>
            <w:r>
              <w:rPr>
                <w:rFonts w:hint="eastAsia"/>
                <w:lang w:val="en-US" w:eastAsia="zh-CN"/>
              </w:rPr>
              <w:t>7</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default"/>
                <w:lang w:val="en-US" w:eastAsia="zh-CN"/>
              </w:rPr>
              <w:t>3.</w:t>
            </w:r>
            <w:r>
              <w:rPr>
                <w:rFonts w:hint="eastAsia"/>
                <w:lang w:val="en-US" w:eastAsia="zh-CN"/>
              </w:rPr>
              <w:t>8</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3.9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军事理论</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形势与政策（一）-（六）</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3</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思想道德与法治</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4</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国家安全教育</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5</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马克思主义基本原理</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6</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中国近现代史纲要</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7</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毛泽东思想和中国特色社会主义理论体系概论</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8</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习近平新时代中国特色社会主义思想概论</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9</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中华民族共同体概论</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10</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大学生职业发展与就业指导（一）-（二）</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11</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大学生创新与创业实务（一）-（二）</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12</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大学生安全教育（一）-（六）</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13</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军事技能</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14</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大学生心理健康教育（一）-（二）</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15</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大学体育（一）-（四）</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16</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艺术修养</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17</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大学英语（一）-（二）</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18</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信息技术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19</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精益生产与管理基础</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20</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人工智能应用基础</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21</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高等数学</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22</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线性代数</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23</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大学物理（理）</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b/>
                <w:bCs/>
                <w:lang w:val="en-US"/>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lang w:val="en-US"/>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24</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入学教育与专业入门</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25</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电工与电子技术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eastAsia="仿宋"/>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26</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机械制图</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default"/>
                <w:lang w:val="en-US" w:eastAsia="zh-CN"/>
              </w:rPr>
              <w:t>27</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r>
              <w:rPr>
                <w:rFonts w:hint="eastAsia"/>
                <w:lang w:val="en-US" w:eastAsia="zh-CN"/>
              </w:rPr>
              <w:t>工程力学</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28</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机械设计基础</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29</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电气控制与PLC应用技术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30</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液压与气动技术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r>
              <w:rPr>
                <w:rFonts w:hint="eastAsia"/>
                <w:lang w:val="en-US" w:eastAsia="zh-CN"/>
              </w:rPr>
              <w:t>31</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r>
              <w:rPr>
                <w:rFonts w:hint="eastAsia"/>
                <w:lang w:val="en-US" w:eastAsia="zh-CN"/>
              </w:rPr>
              <w:t>机械制造技术基础</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jc w:val="both"/>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jc w:val="both"/>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jc w:val="both"/>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jc w:val="both"/>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32</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电气制图</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33</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工业控制网络技术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2"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34</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工业机器人应用技术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 xml:space="preserve">L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35</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传感器与视觉检测技术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36</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智能生产单元创新设计</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37</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工业机器人集成与调试</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L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38</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智能制造装备及系统</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39</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智能制造系统集成与调试</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L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40</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高级语言程序设计</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L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41</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数字化设计与仿真</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42</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r>
              <w:rPr>
                <w:rFonts w:hint="eastAsia"/>
                <w:lang w:val="en-US" w:eastAsia="zh-CN"/>
              </w:rPr>
              <w:t>设备管理与预防维修</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43</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r>
              <w:rPr>
                <w:rFonts w:hint="eastAsia"/>
                <w:lang w:val="en-US" w:eastAsia="zh-CN"/>
              </w:rPr>
              <w:t>电工技能实训</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44</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r>
              <w:rPr>
                <w:rFonts w:hint="eastAsia"/>
                <w:lang w:val="en-US" w:eastAsia="zh-CN"/>
              </w:rPr>
              <w:t>数控机床编程与操作</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1"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45</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highlight w:val="yellow"/>
                <w:lang w:val="en-US" w:eastAsia="zh-CN"/>
              </w:rPr>
            </w:pPr>
            <w:r>
              <w:rPr>
                <w:rFonts w:hint="eastAsia"/>
                <w:highlight w:val="none"/>
                <w:lang w:val="en-US" w:eastAsia="zh-CN"/>
              </w:rPr>
              <w:t>电气控制系统设计与装调</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lang w:val="en-US" w:eastAsia="zh-CN"/>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1"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46</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highlight w:val="yellow"/>
                <w:lang w:val="en-US" w:eastAsia="zh-CN"/>
              </w:rPr>
            </w:pPr>
            <w:r>
              <w:rPr>
                <w:rFonts w:hint="eastAsia"/>
                <w:highlight w:val="none"/>
                <w:lang w:val="en-US" w:eastAsia="zh-CN"/>
              </w:rPr>
              <w:t>CAD工程图绘制</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1"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48</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电机与运动控制技术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49</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自动控制原理</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50</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嵌入式系统设计与应用</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H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L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51</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highlight w:val="none"/>
                <w:lang w:val="en-US" w:eastAsia="zh-CN"/>
              </w:rPr>
              <w:t>数控机床电气设计与安装</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52</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工业 App 开发与应用</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53</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智能机器人技术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cstheme="minorBidi"/>
                <w:kern w:val="2"/>
                <w:sz w:val="24"/>
                <w:szCs w:val="24"/>
                <w:lang w:val="en-US" w:eastAsia="zh-CN" w:bidi="ar-SA"/>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54</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机器人焊接技术</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55</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装备数据采集与监控</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56</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智能焊接产线集成与调试</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 xml:space="preserve">M </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 w:hRule="atLeast"/>
        </w:trPr>
        <w:tc>
          <w:tcPr>
            <w:tcW w:w="5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default"/>
                <w:lang w:val="en-US" w:eastAsia="zh-CN"/>
              </w:rPr>
            </w:pPr>
            <w:r>
              <w:rPr>
                <w:rFonts w:hint="eastAsia"/>
                <w:lang w:val="en-US" w:eastAsia="zh-CN"/>
              </w:rPr>
              <w:t>57</w:t>
            </w:r>
          </w:p>
        </w:tc>
        <w:tc>
          <w:tcPr>
            <w:tcW w:w="1988"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人工智能（AI）与机器学习</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M</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default"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H</w:t>
            </w: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p>
        </w:tc>
        <w:tc>
          <w:tcPr>
            <w:tcW w:w="52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eastAsia="仿宋" w:asciiTheme="minorAscii" w:hAnsiTheme="minorAscii" w:cstheme="minorBidi"/>
                <w:kern w:val="2"/>
                <w:sz w:val="24"/>
                <w:szCs w:val="24"/>
                <w:lang w:val="en-US" w:eastAsia="zh-CN" w:bidi="ar-SA"/>
              </w:rPr>
            </w:pPr>
            <w:r>
              <w:rPr>
                <w:rFonts w:hint="eastAsia"/>
                <w:lang w:val="en-US" w:eastAsia="zh-CN"/>
              </w:rPr>
              <w:t>L</w:t>
            </w:r>
          </w:p>
        </w:tc>
      </w:tr>
    </w:tbl>
    <w:p>
      <w:pPr>
        <w:pStyle w:val="7"/>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注：1.根据课程对各项培养规格的支撑强度分别用“H(高)、M(中)、L(弱)”表示。支撑强度指该课程对培养规格各项指标的覆盖度，“H”至少覆盖80%，“M”至少覆盖 50%,“L”至少覆盖 30%。</w:t>
      </w:r>
    </w:p>
    <w:p>
      <w:pPr>
        <w:rPr>
          <w:rFonts w:hint="eastAsia" w:ascii="仿宋_GB2312" w:hAnsi="仿宋_GB2312" w:eastAsia="仿宋_GB2312" w:cs="仿宋_GB2312"/>
          <w:sz w:val="28"/>
          <w:szCs w:val="36"/>
          <w:lang w:val="en-US" w:eastAsia="zh-CN"/>
        </w:rPr>
      </w:pPr>
      <w:bookmarkStart w:id="10" w:name="_Toc4982"/>
      <w:r>
        <w:rPr>
          <w:rFonts w:hint="eastAsia" w:ascii="仿宋_GB2312" w:hAnsi="仿宋_GB2312" w:eastAsia="仿宋_GB2312" w:cs="仿宋_GB2312"/>
          <w:sz w:val="28"/>
          <w:szCs w:val="36"/>
          <w:lang w:val="en-US" w:eastAsia="zh-CN"/>
        </w:rPr>
        <w:br w:type="page"/>
      </w:r>
    </w:p>
    <w:p>
      <w:pPr>
        <w:pStyle w:val="2"/>
        <w:ind w:firstLine="562" w:firstLineChars="200"/>
        <w:rPr>
          <w:rFonts w:hint="eastAsia" w:ascii="仿宋_GB2312" w:hAnsi="仿宋_GB2312" w:eastAsia="仿宋_GB2312" w:cs="仿宋_GB2312"/>
          <w:sz w:val="28"/>
          <w:szCs w:val="36"/>
          <w:lang w:val="en-US" w:eastAsia="zh-CN"/>
        </w:rPr>
        <w:sectPr>
          <w:footerReference r:id="rId6" w:type="default"/>
          <w:pgSz w:w="16838" w:h="11906" w:orient="landscape"/>
          <w:pgMar w:top="1803" w:right="1440" w:bottom="1803" w:left="1440" w:header="851" w:footer="992" w:gutter="0"/>
          <w:pgNumType w:fmt="decimal"/>
          <w:cols w:space="0" w:num="1"/>
          <w:docGrid w:type="lines" w:linePitch="319" w:charSpace="0"/>
        </w:sectPr>
      </w:pPr>
    </w:p>
    <w:p>
      <w:pPr>
        <w:pStyle w:val="2"/>
        <w:bidi w:val="0"/>
        <w:rPr>
          <w:rFonts w:hint="default"/>
          <w:lang w:val="en-US" w:eastAsia="zh-CN"/>
        </w:rPr>
      </w:pPr>
      <w:r>
        <w:rPr>
          <w:rFonts w:hint="eastAsia"/>
          <w:lang w:val="en-US" w:eastAsia="zh-CN"/>
        </w:rPr>
        <w:t>（二）课程设置</w:t>
      </w:r>
      <w:bookmarkEnd w:id="10"/>
    </w:p>
    <w:p>
      <w:pPr>
        <w:bidi w:val="0"/>
        <w:rPr>
          <w:rFonts w:hint="eastAsia"/>
        </w:rPr>
      </w:pPr>
      <w:r>
        <w:rPr>
          <w:rFonts w:hint="eastAsia"/>
          <w:lang w:val="en-US" w:eastAsia="zh-CN"/>
        </w:rPr>
        <w:t>1.</w:t>
      </w:r>
      <w:r>
        <w:rPr>
          <w:rFonts w:hint="eastAsia"/>
        </w:rPr>
        <w:t>通识课程设置</w:t>
      </w:r>
    </w:p>
    <w:p>
      <w:pPr>
        <w:pStyle w:val="50"/>
        <w:bidi w:val="0"/>
        <w:rPr>
          <w:rFonts w:hint="eastAsia"/>
          <w:lang w:val="en-US" w:eastAsia="zh-CN"/>
        </w:rPr>
      </w:pPr>
      <w:r>
        <w:rPr>
          <w:rFonts w:hint="eastAsia"/>
          <w:lang w:val="en-US" w:eastAsia="zh-CN"/>
        </w:rPr>
        <w:t>表6-2 通识课程描述</w:t>
      </w:r>
    </w:p>
    <w:tbl>
      <w:tblPr>
        <w:tblStyle w:val="1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Layout w:type="autofit"/>
        <w:tblCellMar>
          <w:top w:w="0" w:type="dxa"/>
          <w:left w:w="108" w:type="dxa"/>
          <w:bottom w:w="0" w:type="dxa"/>
          <w:right w:w="108" w:type="dxa"/>
        </w:tblCellMar>
      </w:tblPr>
      <w:tblGrid>
        <w:gridCol w:w="685"/>
        <w:gridCol w:w="1373"/>
        <w:gridCol w:w="2054"/>
        <w:gridCol w:w="2367"/>
        <w:gridCol w:w="2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序号</w:t>
            </w:r>
          </w:p>
        </w:tc>
        <w:tc>
          <w:tcPr>
            <w:tcW w:w="806" w:type="pct"/>
            <w:shd w:val="clear" w:color="auto" w:fill="FFFFFF" w:themeFill="background1"/>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课程名称</w:t>
            </w:r>
          </w:p>
        </w:tc>
        <w:tc>
          <w:tcPr>
            <w:tcW w:w="1206" w:type="pct"/>
            <w:shd w:val="clear" w:color="auto" w:fill="FFFFFF" w:themeFill="background1"/>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课程目标</w:t>
            </w:r>
          </w:p>
        </w:tc>
        <w:tc>
          <w:tcPr>
            <w:tcW w:w="1390" w:type="pct"/>
            <w:shd w:val="clear" w:color="auto" w:fill="FFFFFF" w:themeFill="background1"/>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主要内容</w:t>
            </w:r>
          </w:p>
        </w:tc>
        <w:tc>
          <w:tcPr>
            <w:tcW w:w="1194" w:type="pct"/>
            <w:shd w:val="clear" w:color="auto" w:fill="FFFFFF" w:themeFill="background1"/>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大学生安全教育（一）-（</w:t>
            </w:r>
            <w:r>
              <w:rPr>
                <w:rFonts w:hint="eastAsia" w:ascii="仿宋_GB2312" w:hAnsi="仿宋_GB2312" w:eastAsia="仿宋_GB2312" w:cs="仿宋_GB2312"/>
                <w:lang w:val="en-US" w:eastAsia="zh-CN"/>
              </w:rPr>
              <w:t>六</w:t>
            </w:r>
            <w:r>
              <w:rPr>
                <w:rFonts w:hint="eastAsia" w:ascii="仿宋_GB2312" w:hAnsi="仿宋_GB2312" w:eastAsia="仿宋_GB2312" w:cs="仿宋_GB2312"/>
              </w:rPr>
              <w:t>）</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课程教学，使学生了解影响自身安全的各类隐患，树立安全第一、防范第一的意识和国家安全意识，掌握保障人身安全、财产安全、消防安全、交通安全、网络安全和识别非法组织、维护就业合法权益等各类校内外安全防范知识、技能和相关的法律法规，养成良好的安全防范行为习惯。</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财产安全，社交安全，珍爱生命，远离赌博与禁毒，国家安全，交通安全，人身安全，消防安全，网络安全，食品安全，防灾避险，个人防治艾滋病、HIV感染高危人群防艾等基本知识。</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1.教学形式：讲授式授课+网上自主学习；</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3.考核要求：观看教学视频（30%）+平时作业（10%）+结课考试（占25%）+面授（占35%）。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军事理论</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本课程的学习，掌握基本军事理论知识，增强国防观念和国家安全意识，强化爱国主义、集体主义观念，增强组织纪律性，适应我国人才培养的长远战略目标和加强国防后备力量建设的需要，成长为高素质的社会主义事业的建设者和保卫者。</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我国国防历史和国防建设的现状及其发展趋势，国防建设和国防动员的主要内容，国防法规和国防政策的基本内容；我军的性质、任务和军队建设指导思想；国际战略格局的现状、特点和发展趋势；军事思想的形成与发展过程，我国现代军事思想的主要内容、地位作用及科学含义；现代战争发展趋势和与国防建设的关系；信息化装备的内涵、分类、发展趋势。</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1.教学形式：混合式授课；</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w:t>
            </w:r>
            <w:r>
              <w:rPr>
                <w:rFonts w:hint="eastAsia" w:ascii="仿宋_GB2312" w:hAnsi="仿宋_GB2312" w:eastAsia="仿宋_GB2312" w:cs="仿宋_GB2312"/>
                <w:color w:val="auto"/>
                <w:kern w:val="2"/>
                <w:sz w:val="21"/>
                <w:szCs w:val="21"/>
                <w:highlight w:val="none"/>
              </w:rPr>
              <w:t>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形势与政策</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本课程的学习，深刻学习领会马克思主义中国化时代化的最新理论创新成果和党领导人民取得的伟大实践成就，深刻领悟“两个确立”的决定性意义，增强“四个意识”，坚定“四个自信”，做到“两个维护”，自觉运用马克思主义的立场、观点和方法观察世界、认识问题、解决问题，不断增强大学生的社会责任感和历史使命感。</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党的理论创新最新成果，新时代坚持和发展中国特色社会主义的生动实践，马克思主义形势观与政策观、党的路线方针政策、基本国情、国内外形势及其热点难点问题，党和国家事业取得的历史性成就、面临的历史性机遇和挑战，世界和中国发展大势，青年大学生的时代责任和历史使命。</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1.教学形式：混合式授课；</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思想道德</w:t>
            </w:r>
          </w:p>
          <w:p>
            <w:pPr>
              <w:pStyle w:val="48"/>
              <w:bidi w:val="0"/>
              <w:rPr>
                <w:rFonts w:hint="eastAsia" w:ascii="仿宋_GB2312" w:hAnsi="仿宋_GB2312" w:eastAsia="仿宋_GB2312" w:cs="仿宋_GB2312"/>
              </w:rPr>
            </w:pPr>
            <w:r>
              <w:rPr>
                <w:rFonts w:hint="eastAsia" w:ascii="仿宋_GB2312" w:hAnsi="仿宋_GB2312" w:eastAsia="仿宋_GB2312" w:cs="仿宋_GB2312"/>
              </w:rPr>
              <w:t>与法治</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本课程的学习，接受马克思主义人生观、价值观、道德观、法治观教育，领悟人生真谛、把握人生方向，追求远大理想、坚定崇高信念，继承优良传统，弘扬中国精神，广泛践行社会主义核心价值观；遵守道德规范、锤炼道德品质，引领良好社会风尚，培养法治理念、养成法治思维，自觉尊法学法守法用法，具备良好的思想道德素质和法治素养。</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领悟人生真谛，把握人生方向，追求远大理想，坚定崇高信念，继承优良传统，弘扬中国精神，明确价值要求，践行价值准则，遵守道德规范，锤炼道德品格，学习法治思想，提升法治素养。</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1.教学形式：混合式授课；</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5</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国家安全教育</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系统化学习训练，引导大学生牢固树立“大安全”理念，充分认识国家安全面临的复杂形势，增强国家安全意识，使关心国家安全、维护国家安全成为学生的思想共识和行动自觉，为维护国家长治久安、培养担当民族复兴大任的时代新人奠定坚实基础。</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以总体国家安全观为主题，以坚持和发展中国特色国家安全体系为主线，以习近平新时代总体国家安全思想为重点，结合日益复杂的内外因素和不断拓宽的时空领域，反映党不断推进马克思主义中国化时代化的历史进程和基本经验，阐述习近平新时代总体国家安全思想的主要内容、精神实质、历史地位和指导意义，对大学生进行党在国家安全方面的创新理论专项教育。</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1.教学形式：混合式授课；</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w:t>
            </w:r>
            <w:r>
              <w:rPr>
                <w:rFonts w:hint="eastAsia" w:ascii="仿宋_GB2312" w:hAnsi="仿宋_GB2312" w:eastAsia="仿宋_GB2312" w:cs="仿宋_GB2312"/>
                <w:color w:val="auto"/>
                <w:kern w:val="2"/>
                <w:sz w:val="21"/>
                <w:szCs w:val="21"/>
                <w:highlight w:val="none"/>
              </w:rPr>
              <w:t>过程性考核60%，结果性考核40%。</w:t>
            </w:r>
            <w:bookmarkStart w:id="61" w:name="_GoBack"/>
            <w:bookmarkEnd w:id="61"/>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毛泽东思想和中国特色社会主义理论体系概论</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学习，全面了解中国共产党领导人民进行革命、建设、改革的历史进程、历史变革、历史成就，深刻理解中国共产党坚持把马克思主义基本原理同中国具体实际、同中华优秀传统文化相结合，不断推进马克思主义中国化时代化的历史进程，准确把握马克思主义中国化时代化进程中形成的理论成果、主要内容和科学体系，坚定对马克思主义的信仰、对中国特色社会主义理想信念的信心,增强对中国共产党的信任，提升运用马克思主义立场、观点和方法认识问题、分析问题和解决问题的能力。</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毛泽东思想及其历史地位，新民主主义革命理论，社会主义改造理论，社会主义建设道路初步探索的理论成果，中国特色社会主义理论体系的形成发展，邓小平理论，“三个代表”重要思想，科学发展观。</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1.教学形式：混合式授课；</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7</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习近平新时代中国特色社会主义思想概论</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学习，系统掌握习近平新时代中国特色社会主义思想的主要内容和科学体系，把握这一思想的世界观、方法论和贯彻其中的立场、观点方法，运用其观察现实、认识问题、分析问题和解决问题，正确看待和分析我国社会主义建设进入新时代以后经济社会发展中遇到的各种新问题和矛盾，提高判别是非和解决实际问题的能力，不断增进政治认同、思想认同、理论认同、情感认同，切实做到学思用贯通、知信行统一。</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习近平新时代中国特色社会主义思想的创立，新时代坚持和发展中国特色社会主义，以中国式现代化全面推进中华民族伟大复兴，坚持党的全面领导，坚持以人民为中心，全面深化改革开放，推动高质量发展，社会主义现代化建设的教育、科技、人才战略，发展全过程人民民主，全面依法治国，建设社会主义文化强国，以保障和改善民生为重点加强社会建设，建设社会主义生态文明，维护和塑造国家安全，建设巩固国防和强大人民军队，坚持“一国两制”和推进祖国完全统一，中国特色大国外交和推动构建人类命运共同体，全面从严治党。</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1.教学形式：混合式授课；</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中华民族共同体概论</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通过本课程的学习，帮助学生了解中华民族共同体的内涵和特点，理解其形成和发展过程，掌握维护民族团结和国家统一的方法和途径。同时，培养学生的国家意识和民族自豪感，使其能够积极参与各民族交往交流交融，为中华民族的伟大复兴贡献力量。</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课程系统介绍了中华民族共同体的基础理论，包括中华民族、中华民族共同体、中华民族共同体意识等核心概念。同时，从历史角度出发，分阶段讲述了中华民族共同体的形成和发展过程，涵盖了从史前文明起源到新时代的各个历史阶段。</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3.考核要求：过程性考核60%，结果性考核40%。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9</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大学生职业发展与就业指导（一）-（二）</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课程教学，使学生获得面向职业本科培养规格、适应未来高层次技术技能岗位及终身发展所必需的职业规划与就业指导核心知识，掌握自我认知、职业探索、生涯决策与求职面试的系统方法，具备撰写职业生涯规划书、制作求职材料、完成现场路演与面试的核心技能；在真实项目与情境训练中提升职业适应力、沟通协作能力与问题解决能力，培养学生“德技兼备、情理双修”的职业素养和经世济民的社会责任感。</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理论部分：职业与生涯基本概念、职业生涯发展理论；职业世界宏观环境（产业、行业、政策）与微观环境（岗位、企业文化）分析方法；自我认知工具；职业决策模型；求职材料（简历、自荐信、职业规划书）结构与写作规范；面试流程、礼仪与应答技巧；就业权益与劳动法律法规；</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2.实践部分：职业测评软件实操、职业生涯规划书撰写与路演、求职简历及自荐信定制、模拟面试与角色扮演、行业企业考察与校友访谈、参加全国大学生职业规划大赛。</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2.教室要求：多媒体教室+机房；</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大学生创新与创业实务（一）-（二）</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课程教学，使学生获得面向专业学习与未来职业发展所必需的创新创业核心知识、方法与工具；掌握发现机会、整合资源、设计商业模式、完成项目路演的关键技能，具备运用专业知识解决真实创业问题的综合能力；在团队协作与项目实践中提升批判性思维、沟通表达与抗压能力，培养学生敢闯会创、服务国家战略及区域发展的创新精神，以及守法合规、诚实守信的职业素养。</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1.理论部分：创新创业概念与国家地方政策、创业模型、创新方法、精益创业原理；精益画布、商业模式画布等系统工具；创业团队组建、机会识别、财税基础、政策法规等。</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2.实践部分：新能源汽车、柳州螺蛳粉等地方产业命题项目实战；贝腾创新创业仿真系统训练；创业计划书撰写、路演 PPT 设计与现场路演；参加中国国际大学生创新大赛。</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1.教学形式：混合式教学、虚拟仿真与竞赛实战相结合；</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2.教室要求：多媒体教室、机房；</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w:t>
            </w:r>
            <w:r>
              <w:rPr>
                <w:rFonts w:hint="eastAsia" w:ascii="仿宋_GB2312" w:hAnsi="仿宋_GB2312" w:eastAsia="仿宋_GB2312" w:cs="仿宋_GB2312"/>
                <w:lang w:val="en-US" w:eastAsia="zh-CN"/>
              </w:rPr>
              <w:t>形式</w:t>
            </w:r>
            <w:r>
              <w:rPr>
                <w:rFonts w:hint="eastAsia" w:ascii="仿宋_GB2312" w:hAnsi="仿宋_GB2312" w:eastAsia="仿宋_GB2312" w:cs="仿宋_GB2312"/>
              </w:rPr>
              <w:t>：平时成绩60%，期末考核成绩40%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11</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大学生心理健康教育（一）-（二）</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课程教学，使学生获得面向职业本科培养规格、适应未来高层次技术技能岗位及终身发展所必需的心理健康核心知识，掌握自我觉察、情绪管理、压力应对、人际沟通与心理调适的系统方法；具备识别常见心理困扰、构建积极心理品质、制定心理健康计划的核心能力；在情境化训练中提升心理韧性、自我关怀能力与社会适应力，培养学生“身心和谐、知行合一”的健康素养和理性平和的生命价值观。</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 理论部分</w:t>
            </w:r>
          </w:p>
          <w:p>
            <w:pPr>
              <w:pStyle w:val="48"/>
              <w:bidi w:val="0"/>
              <w:rPr>
                <w:rFonts w:hint="eastAsia" w:ascii="仿宋_GB2312" w:hAnsi="仿宋_GB2312" w:eastAsia="仿宋_GB2312" w:cs="仿宋_GB2312"/>
              </w:rPr>
            </w:pPr>
            <w:r>
              <w:rPr>
                <w:rFonts w:hint="eastAsia" w:ascii="仿宋_GB2312" w:hAnsi="仿宋_GB2312" w:eastAsia="仿宋_GB2312" w:cs="仿宋_GB2312"/>
              </w:rPr>
              <w:t>基础理论：心理健康标准、心理发展规律（青春期至成年早期）、身心交互机制</w:t>
            </w:r>
          </w:p>
          <w:p>
            <w:pPr>
              <w:pStyle w:val="48"/>
              <w:bidi w:val="0"/>
              <w:rPr>
                <w:rFonts w:hint="eastAsia" w:ascii="仿宋_GB2312" w:hAnsi="仿宋_GB2312" w:eastAsia="仿宋_GB2312" w:cs="仿宋_GB2312"/>
              </w:rPr>
            </w:pPr>
            <w:r>
              <w:rPr>
                <w:rFonts w:hint="eastAsia" w:ascii="仿宋_GB2312" w:hAnsi="仿宋_GB2312" w:eastAsia="仿宋_GB2312" w:cs="仿宋_GB2312"/>
              </w:rPr>
              <w:t>核心能力模块：</w:t>
            </w:r>
          </w:p>
          <w:p>
            <w:pPr>
              <w:pStyle w:val="48"/>
              <w:bidi w:val="0"/>
              <w:rPr>
                <w:rFonts w:hint="eastAsia" w:ascii="仿宋_GB2312" w:hAnsi="仿宋_GB2312" w:eastAsia="仿宋_GB2312" w:cs="仿宋_GB2312"/>
              </w:rPr>
            </w:pPr>
            <w:r>
              <w:rPr>
                <w:rFonts w:hint="eastAsia" w:ascii="仿宋_GB2312" w:hAnsi="仿宋_GB2312" w:eastAsia="仿宋_GB2312" w:cs="仿宋_GB2312"/>
              </w:rPr>
              <w:t>自我认知：人格特质理论、自我意识发展、优势识别工具</w:t>
            </w:r>
          </w:p>
          <w:p>
            <w:pPr>
              <w:pStyle w:val="48"/>
              <w:bidi w:val="0"/>
              <w:rPr>
                <w:rFonts w:hint="eastAsia" w:ascii="仿宋_GB2312" w:hAnsi="仿宋_GB2312" w:eastAsia="仿宋_GB2312" w:cs="仿宋_GB2312"/>
              </w:rPr>
            </w:pPr>
            <w:r>
              <w:rPr>
                <w:rFonts w:hint="eastAsia" w:ascii="仿宋_GB2312" w:hAnsi="仿宋_GB2312" w:eastAsia="仿宋_GB2312" w:cs="仿宋_GB2312"/>
              </w:rPr>
              <w:t>情绪管理：情绪ABC理论、正念调节技术、危机预警信号识别</w:t>
            </w:r>
          </w:p>
          <w:p>
            <w:pPr>
              <w:pStyle w:val="48"/>
              <w:bidi w:val="0"/>
              <w:rPr>
                <w:rFonts w:hint="eastAsia" w:ascii="仿宋_GB2312" w:hAnsi="仿宋_GB2312" w:eastAsia="仿宋_GB2312" w:cs="仿宋_GB2312"/>
              </w:rPr>
            </w:pPr>
            <w:r>
              <w:rPr>
                <w:rFonts w:hint="eastAsia" w:ascii="仿宋_GB2312" w:hAnsi="仿宋_GB2312" w:eastAsia="仿宋_GB2312" w:cs="仿宋_GB2312"/>
              </w:rPr>
              <w:t>压力应对：压力源分析、认知重构策略、心身放松技术</w:t>
            </w:r>
          </w:p>
          <w:p>
            <w:pPr>
              <w:pStyle w:val="48"/>
              <w:bidi w:val="0"/>
              <w:rPr>
                <w:rFonts w:hint="eastAsia" w:ascii="仿宋_GB2312" w:hAnsi="仿宋_GB2312" w:eastAsia="仿宋_GB2312" w:cs="仿宋_GB2312"/>
              </w:rPr>
            </w:pPr>
            <w:r>
              <w:rPr>
                <w:rFonts w:hint="eastAsia" w:ascii="仿宋_GB2312" w:hAnsi="仿宋_GB2312" w:eastAsia="仿宋_GB2312" w:cs="仿宋_GB2312"/>
              </w:rPr>
              <w:t>人际关系：沟通分析（TA理论）、边界建立、冲突化解模型</w:t>
            </w:r>
            <w:r>
              <w:rPr>
                <w:rFonts w:hint="eastAsia" w:ascii="仿宋_GB2312" w:hAnsi="仿宋_GB2312" w:eastAsia="仿宋_GB2312" w:cs="仿宋_GB2312"/>
                <w:lang w:eastAsia="zh-CN"/>
              </w:rPr>
              <w:t>、恋爱关系发展模型、 健康性心理标准</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rPr>
              <w:t>生命教育：意义感构建、挫折应对、心理危机干预体系</w:t>
            </w:r>
          </w:p>
          <w:p>
            <w:pPr>
              <w:pStyle w:val="48"/>
              <w:bidi w:val="0"/>
              <w:rPr>
                <w:rFonts w:hint="eastAsia" w:ascii="仿宋_GB2312" w:hAnsi="仿宋_GB2312" w:eastAsia="仿宋_GB2312" w:cs="仿宋_GB2312"/>
              </w:rPr>
            </w:pPr>
            <w:r>
              <w:rPr>
                <w:rFonts w:hint="eastAsia" w:ascii="仿宋_GB2312" w:hAnsi="仿宋_GB2312" w:eastAsia="仿宋_GB2312" w:cs="仿宋_GB2312"/>
              </w:rPr>
              <w:t>2. 实践部分</w:t>
            </w:r>
          </w:p>
          <w:p>
            <w:pPr>
              <w:pStyle w:val="48"/>
              <w:bidi w:val="0"/>
              <w:rPr>
                <w:rFonts w:hint="eastAsia" w:ascii="仿宋_GB2312" w:hAnsi="仿宋_GB2312" w:eastAsia="仿宋_GB2312" w:cs="仿宋_GB2312"/>
              </w:rPr>
            </w:pPr>
            <w:r>
              <w:rPr>
                <w:rFonts w:hint="eastAsia" w:ascii="仿宋_GB2312" w:hAnsi="仿宋_GB2312" w:eastAsia="仿宋_GB2312" w:cs="仿宋_GB2312"/>
              </w:rPr>
              <w:t>团体心理辅导：角色扮演、信任构建</w:t>
            </w:r>
          </w:p>
          <w:p>
            <w:pPr>
              <w:pStyle w:val="48"/>
              <w:bidi w:val="0"/>
              <w:rPr>
                <w:rFonts w:hint="eastAsia" w:ascii="仿宋_GB2312" w:hAnsi="仿宋_GB2312" w:eastAsia="仿宋_GB2312" w:cs="仿宋_GB2312"/>
              </w:rPr>
            </w:pPr>
            <w:r>
              <w:rPr>
                <w:rFonts w:hint="eastAsia" w:ascii="仿宋_GB2312" w:hAnsi="仿宋_GB2312" w:eastAsia="仿宋_GB2312" w:cs="仿宋_GB2312"/>
              </w:rPr>
              <w:t>个人心理健康计划书制定</w:t>
            </w:r>
          </w:p>
          <w:p>
            <w:pPr>
              <w:pStyle w:val="48"/>
              <w:bidi w:val="0"/>
              <w:rPr>
                <w:rFonts w:hint="eastAsia" w:ascii="仿宋_GB2312" w:hAnsi="仿宋_GB2312" w:eastAsia="仿宋_GB2312" w:cs="仿宋_GB2312"/>
              </w:rPr>
            </w:pPr>
            <w:r>
              <w:rPr>
                <w:rFonts w:hint="eastAsia" w:ascii="仿宋_GB2312" w:hAnsi="仿宋_GB2312" w:eastAsia="仿宋_GB2312" w:cs="仿宋_GB2312"/>
              </w:rPr>
              <w:t>校园心理微电影创作</w:t>
            </w:r>
          </w:p>
          <w:p>
            <w:pPr>
              <w:pStyle w:val="48"/>
              <w:bidi w:val="0"/>
              <w:rPr>
                <w:rFonts w:hint="eastAsia" w:ascii="仿宋_GB2312" w:hAnsi="仿宋_GB2312" w:eastAsia="仿宋_GB2312" w:cs="仿宋_GB2312"/>
                <w:lang w:val="en-US" w:eastAsia="zh-CN"/>
              </w:rPr>
            </w:pP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3.考核形式：平时成绩 60%，期末成绩40%。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大学英语（一）-（二）</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强化学生英语语言技能，促进学生英语学科核心素养的发展，</w:t>
            </w:r>
            <w:r>
              <w:rPr>
                <w:rFonts w:hint="eastAsia" w:ascii="仿宋_GB2312" w:hAnsi="仿宋_GB2312" w:eastAsia="仿宋_GB2312" w:cs="仿宋_GB2312"/>
                <w:lang w:val="en-US" w:eastAsia="zh-CN"/>
              </w:rPr>
              <w:t>培养具有中国情怀、国际视野，能够在日常生活和职场中用英语进行有效沟通的高素质技术技能人才</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人文生活、职业规范、科技发展、生产环境等相关的语篇及素材</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r>
              <w:rPr>
                <w:rFonts w:hint="eastAsia" w:ascii="仿宋_GB2312" w:hAnsi="仿宋_GB2312" w:eastAsia="仿宋_GB2312" w:cs="仿宋_GB2312"/>
              </w:rPr>
              <w:t>教学形式：混合式</w:t>
            </w:r>
            <w:r>
              <w:rPr>
                <w:rFonts w:hint="eastAsia" w:ascii="仿宋_GB2312" w:hAnsi="仿宋_GB2312" w:eastAsia="仿宋_GB2312" w:cs="仿宋_GB2312"/>
                <w:lang w:val="en-US" w:eastAsia="zh-CN"/>
              </w:rPr>
              <w:t>教学法</w:t>
            </w:r>
            <w:r>
              <w:rPr>
                <w:rFonts w:hint="eastAsia" w:ascii="仿宋_GB2312" w:hAnsi="仿宋_GB2312" w:eastAsia="仿宋_GB2312" w:cs="仿宋_GB2312"/>
              </w:rPr>
              <w:t>；</w:t>
            </w:r>
          </w:p>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r>
              <w:rPr>
                <w:rFonts w:hint="eastAsia" w:ascii="仿宋_GB2312" w:hAnsi="仿宋_GB2312" w:eastAsia="仿宋_GB2312" w:cs="仿宋_GB2312"/>
              </w:rPr>
              <w:t>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r>
              <w:rPr>
                <w:rFonts w:hint="eastAsia" w:ascii="仿宋_GB2312" w:hAnsi="仿宋_GB2312" w:eastAsia="仿宋_GB2312" w:cs="仿宋_GB2312"/>
              </w:rPr>
              <w:t>考核</w:t>
            </w:r>
            <w:r>
              <w:rPr>
                <w:rFonts w:hint="eastAsia" w:ascii="仿宋_GB2312" w:hAnsi="仿宋_GB2312" w:eastAsia="仿宋_GB2312" w:cs="仿宋_GB2312"/>
                <w:lang w:val="en-US" w:eastAsia="zh-CN"/>
              </w:rPr>
              <w:t>形式</w:t>
            </w:r>
            <w:r>
              <w:rPr>
                <w:rFonts w:hint="eastAsia" w:ascii="仿宋_GB2312" w:hAnsi="仿宋_GB2312" w:eastAsia="仿宋_GB2312" w:cs="仿宋_GB2312"/>
              </w:rPr>
              <w:t>：平时考核（在线统计）</w:t>
            </w:r>
            <w:r>
              <w:rPr>
                <w:rFonts w:hint="eastAsia" w:ascii="仿宋_GB2312" w:hAnsi="仿宋_GB2312" w:eastAsia="仿宋_GB2312" w:cs="仿宋_GB2312"/>
                <w:lang w:val="en-US" w:eastAsia="zh-CN"/>
              </w:rPr>
              <w:t>5</w:t>
            </w:r>
            <w:r>
              <w:rPr>
                <w:rFonts w:hint="eastAsia" w:ascii="仿宋_GB2312" w:hAnsi="仿宋_GB2312" w:eastAsia="仿宋_GB2312" w:cs="仿宋_GB2312"/>
              </w:rPr>
              <w:t>0%，口语实训20%，期末测试成绩</w:t>
            </w:r>
            <w:r>
              <w:rPr>
                <w:rFonts w:hint="eastAsia" w:ascii="仿宋_GB2312" w:hAnsi="仿宋_GB2312" w:eastAsia="仿宋_GB2312" w:cs="仿宋_GB2312"/>
                <w:lang w:val="en-US" w:eastAsia="zh-CN"/>
              </w:rPr>
              <w:t>3</w:t>
            </w:r>
            <w:r>
              <w:rPr>
                <w:rFonts w:hint="eastAsia" w:ascii="仿宋_GB2312" w:hAnsi="仿宋_GB2312" w:eastAsia="仿宋_GB2312" w:cs="仿宋_GB231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13</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大学体育（一）</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本课程以八段锦为主线，以选项课项目（篮球、排球、网球、乒乓球、健美操、体育舞蹈、太极拳、田径）等介绍为辅，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以健康理论为基础，以八段锦技能学习及身体素质锻炼为主体，以课外体育活动为补充，全面提高学生职业体能和对体育锻炼的认识。</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2.教室要求：运动场馆；</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大学体育（二）、大学体育（三）</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本课程是以学生身体练习为主要手段，通过合理的体育教学和科学的体育锻炼，使学生达到增强体质、促进身心健康和提高体育与健康核心素养为主要目标的课程。</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以健康理论为基础，以篮球、排球、网球、乒乓球、健美操、体育舞蹈、太极拳、田径（健身跑）等8项技能学习及身体素质锻炼为主体，以课外体育活动为补充，全面提高学生职业体能和对体育锻炼的认识。</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2.教室要求：运动场馆；</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平时成绩40%，期末成绩60%（技术技能30%，体育健康测试30%）。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大学体育（四）</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本课程是以学生身体素质锻炼及体质测试为主要手段，通过合理的教学和科学的体育锻炼，使学生掌握身体锻炼的基本方法，达到增强体质、促进身心健康和提高身体素质为主要目标的课程。</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以弹跳、速度、柔韧、耐力、力量等身体素质锻炼及立定跳远、引体向上（男）/仰卧起坐（女）、50米、1000米（男）/800米（女）等体质测试为主体，以课外体育活动为补充。</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2.教室要求：运动场馆；</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平时成绩50%，期末成绩50%（体质测试）。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417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通用礼仪</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本课程的学习，掌握相关礼仪常识以及适应未来工作、生活必要的素养和技能；具备在工作与生活中运用礼仪的能力；树立社会主义核心价值观；遵守人际交往的基本原则、社会规范，提高个人修养，树立正确的世界观、人生观和价值观，成为合格的社会主义建设者和接班人。</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学习内容由基础模块和拓展模块构成，基础模块包含个人礼仪、沟通礼仪、交往礼仪；拓展模块为求职礼仪。</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rPr>
            </w:pPr>
            <w:r>
              <w:rPr>
                <w:rFonts w:hint="eastAsia" w:ascii="仿宋_GB2312" w:hAnsi="仿宋_GB2312" w:eastAsia="仿宋_GB2312" w:cs="仿宋_GB2312"/>
              </w:rPr>
              <w:t>3.考核形式：过程性考核100%。</w:t>
            </w:r>
          </w:p>
          <w:p>
            <w:pPr>
              <w:pStyle w:val="48"/>
              <w:bidi w:val="0"/>
              <w:rPr>
                <w:rFonts w:hint="eastAsia" w:ascii="仿宋_GB2312" w:hAnsi="仿宋_GB2312" w:eastAsia="仿宋_GB2312" w:cs="仿宋_GB2312"/>
              </w:rPr>
            </w:pPr>
          </w:p>
          <w:p>
            <w:pPr>
              <w:pStyle w:val="48"/>
              <w:bidi w:val="0"/>
              <w:rPr>
                <w:rFonts w:hint="eastAsia" w:ascii="仿宋_GB2312" w:hAnsi="仿宋_GB2312" w:eastAsia="仿宋_GB2312" w:cs="仿宋_GB231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774"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17</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中国优秀传统文化</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本课程的学习，学生能够熟知并传承中国传统文化的基本精神，了解中国文学、建筑、饮食、艺术等方面的精髓，以及中国传统道德规范和传统美德。在实际情境中运用传统智慧来指导自己的行为和思想，解决生活、工作中的实际问题。激发学生对中华优秀传统文化的热爱和认同感，启迪学生热爱祖国、热爱民族文化，弘扬民族精神，增强民族凝聚力和向心力。</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1.知识学习：</w:t>
            </w:r>
            <w:r>
              <w:rPr>
                <w:rFonts w:hint="eastAsia" w:ascii="仿宋_GB2312" w:hAnsi="仿宋_GB2312" w:eastAsia="仿宋_GB2312" w:cs="仿宋_GB2312"/>
                <w:lang w:val="en-US" w:eastAsia="zh-CN"/>
              </w:rPr>
              <w:t>传统文化基本精神、古文学、建筑、节日文化、茶文化等</w:t>
            </w:r>
            <w:r>
              <w:rPr>
                <w:rFonts w:hint="eastAsia" w:ascii="仿宋_GB2312" w:hAnsi="仿宋_GB2312" w:eastAsia="仿宋_GB2312" w:cs="仿宋_GB2312"/>
              </w:rPr>
              <w:t>模块；</w:t>
            </w:r>
          </w:p>
          <w:p>
            <w:pPr>
              <w:pStyle w:val="48"/>
              <w:bidi w:val="0"/>
              <w:rPr>
                <w:rFonts w:hint="eastAsia" w:ascii="仿宋_GB2312" w:hAnsi="仿宋_GB2312" w:eastAsia="仿宋_GB2312" w:cs="仿宋_GB2312"/>
              </w:rPr>
            </w:pPr>
            <w:r>
              <w:rPr>
                <w:rFonts w:hint="eastAsia" w:ascii="仿宋_GB2312" w:hAnsi="仿宋_GB2312" w:eastAsia="仿宋_GB2312" w:cs="仿宋_GB2312"/>
              </w:rPr>
              <w:t>2.综合实践：</w:t>
            </w:r>
          </w:p>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地方传统调查及分享</w:t>
            </w:r>
            <w:r>
              <w:rPr>
                <w:rFonts w:hint="eastAsia" w:ascii="仿宋_GB2312" w:hAnsi="仿宋_GB2312" w:eastAsia="仿宋_GB2312" w:cs="仿宋_GB2312"/>
              </w:rPr>
              <w:t>；</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3.思政元素：</w:t>
            </w:r>
            <w:r>
              <w:rPr>
                <w:rFonts w:hint="eastAsia" w:ascii="仿宋_GB2312" w:hAnsi="仿宋_GB2312" w:eastAsia="仿宋_GB2312" w:cs="仿宋_GB2312"/>
                <w:lang w:val="en-US" w:eastAsia="zh-CN"/>
              </w:rPr>
              <w:t>爱国、</w:t>
            </w:r>
            <w:r>
              <w:rPr>
                <w:rFonts w:hint="eastAsia" w:ascii="仿宋_GB2312" w:hAnsi="仿宋_GB2312" w:eastAsia="仿宋_GB2312" w:cs="仿宋_GB2312"/>
              </w:rPr>
              <w:t>正直、善良、自省、自信、立志</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3.考核形式：</w:t>
            </w:r>
            <w:r>
              <w:rPr>
                <w:rFonts w:hint="eastAsia" w:ascii="仿宋_GB2312" w:hAnsi="仿宋_GB2312" w:eastAsia="仿宋_GB2312" w:cs="仿宋_GB2312"/>
                <w:lang w:val="en-US" w:eastAsia="zh-CN"/>
              </w:rPr>
              <w:t>过程性考核10</w:t>
            </w:r>
            <w:r>
              <w:rPr>
                <w:rFonts w:hint="eastAsia" w:ascii="仿宋_GB2312" w:hAnsi="仿宋_GB2312" w:eastAsia="仿宋_GB2312" w:cs="仿宋_GB231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18</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应用文写作</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本课程的学习，掌握应用文写作基础、识和应用文常识、写作格式、写作要求，以及写作方法和技巧。能够根据现实生活、工作中中碰到的实际情况，结合所学文种知识，选择相应的文种进行写作。具备良好的规则意识、法律意识、市场意识、竞争意识，养成严谨、规范的工作态度和工作习惯。</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1.知识学习：</w:t>
            </w:r>
            <w:r>
              <w:rPr>
                <w:rFonts w:hint="eastAsia" w:ascii="仿宋_GB2312" w:hAnsi="仿宋_GB2312" w:eastAsia="仿宋_GB2312" w:cs="仿宋_GB2312"/>
                <w:lang w:val="en-US" w:eastAsia="zh-CN"/>
              </w:rPr>
              <w:t>公务文书、事务文书、科技文书三</w:t>
            </w:r>
            <w:r>
              <w:rPr>
                <w:rFonts w:hint="eastAsia" w:ascii="仿宋_GB2312" w:hAnsi="仿宋_GB2312" w:eastAsia="仿宋_GB2312" w:cs="仿宋_GB2312"/>
              </w:rPr>
              <w:t>大模块；</w:t>
            </w:r>
          </w:p>
          <w:p>
            <w:pPr>
              <w:pStyle w:val="48"/>
              <w:bidi w:val="0"/>
              <w:rPr>
                <w:rFonts w:hint="eastAsia" w:ascii="仿宋_GB2312" w:hAnsi="仿宋_GB2312" w:eastAsia="仿宋_GB2312" w:cs="仿宋_GB2312"/>
              </w:rPr>
            </w:pPr>
            <w:r>
              <w:rPr>
                <w:rFonts w:hint="eastAsia" w:ascii="仿宋_GB2312" w:hAnsi="仿宋_GB2312" w:eastAsia="仿宋_GB2312" w:cs="仿宋_GB2312"/>
              </w:rPr>
              <w:t>2.综合实践：</w:t>
            </w:r>
            <w:r>
              <w:rPr>
                <w:rFonts w:hint="eastAsia" w:ascii="仿宋_GB2312" w:hAnsi="仿宋_GB2312" w:eastAsia="仿宋_GB2312" w:cs="仿宋_GB2312"/>
                <w:lang w:val="en-US" w:eastAsia="zh-CN"/>
              </w:rPr>
              <w:t>调查实践，撰写调查报告</w:t>
            </w:r>
            <w:r>
              <w:rPr>
                <w:rFonts w:hint="eastAsia" w:ascii="仿宋_GB2312" w:hAnsi="仿宋_GB2312" w:eastAsia="仿宋_GB2312" w:cs="仿宋_GB2312"/>
              </w:rPr>
              <w:t>；</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3.思政元素：</w:t>
            </w:r>
            <w:r>
              <w:rPr>
                <w:rFonts w:hint="eastAsia" w:ascii="仿宋_GB2312" w:hAnsi="仿宋_GB2312" w:eastAsia="仿宋_GB2312" w:cs="仿宋_GB2312"/>
                <w:lang w:val="en-US" w:eastAsia="zh-CN"/>
              </w:rPr>
              <w:t>合作、协作、严谨、规范</w:t>
            </w:r>
            <w:r>
              <w:rPr>
                <w:rFonts w:hint="eastAsia" w:ascii="仿宋_GB2312" w:hAnsi="仿宋_GB2312" w:eastAsia="仿宋_GB2312" w:cs="仿宋_GB2312"/>
              </w:rPr>
              <w:t>。</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3.考核形式：平时考核</w:t>
            </w:r>
            <w:r>
              <w:rPr>
                <w:rFonts w:hint="eastAsia" w:ascii="仿宋_GB2312" w:hAnsi="仿宋_GB2312" w:eastAsia="仿宋_GB2312" w:cs="仿宋_GB2312"/>
                <w:lang w:val="en-US" w:eastAsia="zh-CN"/>
              </w:rPr>
              <w:t>6</w:t>
            </w:r>
            <w:r>
              <w:rPr>
                <w:rFonts w:hint="eastAsia" w:ascii="仿宋_GB2312" w:hAnsi="仿宋_GB2312" w:eastAsia="仿宋_GB2312" w:cs="仿宋_GB2312"/>
              </w:rPr>
              <w:t>0%，期末考核成绩</w:t>
            </w:r>
            <w:r>
              <w:rPr>
                <w:rFonts w:hint="eastAsia" w:ascii="仿宋_GB2312" w:hAnsi="仿宋_GB2312" w:eastAsia="仿宋_GB2312" w:cs="仿宋_GB2312"/>
                <w:lang w:val="en-US" w:eastAsia="zh-CN"/>
              </w:rPr>
              <w:t>4</w:t>
            </w:r>
            <w:r>
              <w:rPr>
                <w:rFonts w:hint="eastAsia" w:ascii="仿宋_GB2312" w:hAnsi="仿宋_GB2312" w:eastAsia="仿宋_GB2312" w:cs="仿宋_GB231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19</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大学语文</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通过本课程的学习，能根据具体的语言环境理解语言，能整体感知和领会文本，理解文本的思想内容、常见写作手法及语言表现力。能根据学习、生活和职业工作需要</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准确无误</w:t>
            </w:r>
            <w:r>
              <w:rPr>
                <w:rFonts w:hint="eastAsia" w:ascii="仿宋_GB2312" w:hAnsi="仿宋_GB2312" w:eastAsia="仿宋_GB2312" w:cs="仿宋_GB2312"/>
              </w:rPr>
              <w:t>进行表达与交流；能运用多种思维方式和选取恰当的思维方法，通过探究语言现象，理清事物之间的内在关系，获得思维能力的发展；能够欣赏、分析优秀作品的思想情感与审美意蕴。培养学生正确的价值观念、高尚的人文精神和审美情趣，培育劳动精神，弘扬劳模精神、工匠精神。</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1.知识学习：文学作品阅读与鉴赏、</w:t>
            </w:r>
            <w:r>
              <w:rPr>
                <w:rFonts w:hint="eastAsia" w:ascii="仿宋_GB2312" w:hAnsi="仿宋_GB2312" w:eastAsia="仿宋_GB2312" w:cs="仿宋_GB2312"/>
                <w:lang w:val="en-US" w:eastAsia="zh-CN"/>
              </w:rPr>
              <w:t>演讲能力</w:t>
            </w:r>
            <w:r>
              <w:rPr>
                <w:rFonts w:hint="eastAsia" w:ascii="仿宋_GB2312" w:hAnsi="仿宋_GB2312" w:eastAsia="仿宋_GB2312" w:cs="仿宋_GB2312"/>
              </w:rPr>
              <w:t>训练、</w:t>
            </w:r>
            <w:r>
              <w:rPr>
                <w:rFonts w:hint="eastAsia" w:ascii="仿宋_GB2312" w:hAnsi="仿宋_GB2312" w:eastAsia="仿宋_GB2312" w:cs="仿宋_GB2312"/>
                <w:lang w:val="en-US" w:eastAsia="zh-CN"/>
              </w:rPr>
              <w:t>科技应用文</w:t>
            </w:r>
            <w:r>
              <w:rPr>
                <w:rFonts w:hint="eastAsia" w:ascii="仿宋_GB2312" w:hAnsi="仿宋_GB2312" w:eastAsia="仿宋_GB2312" w:cs="仿宋_GB2312"/>
              </w:rPr>
              <w:t>三大模块；</w:t>
            </w:r>
          </w:p>
          <w:p>
            <w:pPr>
              <w:pStyle w:val="48"/>
              <w:bidi w:val="0"/>
              <w:rPr>
                <w:rFonts w:hint="eastAsia" w:ascii="仿宋_GB2312" w:hAnsi="仿宋_GB2312" w:eastAsia="仿宋_GB2312" w:cs="仿宋_GB2312"/>
              </w:rPr>
            </w:pPr>
            <w:r>
              <w:rPr>
                <w:rFonts w:hint="eastAsia" w:ascii="仿宋_GB2312" w:hAnsi="仿宋_GB2312" w:eastAsia="仿宋_GB2312" w:cs="仿宋_GB2312"/>
              </w:rPr>
              <w:t>2.语文综合实践：</w:t>
            </w:r>
          </w:p>
          <w:p>
            <w:pPr>
              <w:pStyle w:val="48"/>
              <w:bidi w:val="0"/>
              <w:rPr>
                <w:rFonts w:hint="eastAsia" w:ascii="仿宋_GB2312" w:hAnsi="仿宋_GB2312" w:eastAsia="仿宋_GB2312" w:cs="仿宋_GB2312"/>
              </w:rPr>
            </w:pPr>
            <w:r>
              <w:rPr>
                <w:rFonts w:hint="eastAsia" w:ascii="仿宋_GB2312" w:hAnsi="仿宋_GB2312" w:eastAsia="仿宋_GB2312" w:cs="仿宋_GB2312"/>
              </w:rPr>
              <w:t>爱我中华经典诵读、</w:t>
            </w:r>
            <w:r>
              <w:rPr>
                <w:rFonts w:hint="eastAsia" w:ascii="仿宋_GB2312" w:hAnsi="仿宋_GB2312" w:eastAsia="仿宋_GB2312" w:cs="仿宋_GB2312"/>
                <w:lang w:val="en-US" w:eastAsia="zh-CN"/>
              </w:rPr>
              <w:t>职业畅想</w:t>
            </w:r>
            <w:r>
              <w:rPr>
                <w:rFonts w:hint="eastAsia" w:ascii="仿宋_GB2312" w:hAnsi="仿宋_GB2312" w:eastAsia="仿宋_GB2312" w:cs="仿宋_GB2312"/>
              </w:rPr>
              <w:t>主题演讲；</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3.思政元素：文化传承、家国情怀、</w:t>
            </w:r>
            <w:r>
              <w:rPr>
                <w:rFonts w:hint="eastAsia" w:ascii="仿宋_GB2312" w:hAnsi="仿宋_GB2312" w:eastAsia="仿宋_GB2312" w:cs="仿宋_GB2312"/>
                <w:lang w:val="en-US" w:eastAsia="zh-CN"/>
              </w:rPr>
              <w:t>工匠精神、世事洞明、</w:t>
            </w:r>
            <w:r>
              <w:rPr>
                <w:rFonts w:hint="eastAsia" w:ascii="仿宋_GB2312" w:hAnsi="仿宋_GB2312" w:eastAsia="仿宋_GB2312" w:cs="仿宋_GB2312"/>
              </w:rPr>
              <w:t>文体章成。</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3.考核形式：平时考核</w:t>
            </w:r>
            <w:r>
              <w:rPr>
                <w:rFonts w:hint="eastAsia" w:ascii="仿宋_GB2312" w:hAnsi="仿宋_GB2312" w:eastAsia="仿宋_GB2312" w:cs="仿宋_GB2312"/>
                <w:lang w:val="en-US" w:eastAsia="zh-CN"/>
              </w:rPr>
              <w:t>6</w:t>
            </w:r>
            <w:r>
              <w:rPr>
                <w:rFonts w:hint="eastAsia" w:ascii="仿宋_GB2312" w:hAnsi="仿宋_GB2312" w:eastAsia="仿宋_GB2312" w:cs="仿宋_GB2312"/>
              </w:rPr>
              <w:t>0%，期末考核成绩</w:t>
            </w:r>
            <w:r>
              <w:rPr>
                <w:rFonts w:hint="eastAsia" w:ascii="仿宋_GB2312" w:hAnsi="仿宋_GB2312" w:eastAsia="仿宋_GB2312" w:cs="仿宋_GB2312"/>
                <w:lang w:val="en-US" w:eastAsia="zh-CN"/>
              </w:rPr>
              <w:t>4</w:t>
            </w:r>
            <w:r>
              <w:rPr>
                <w:rFonts w:hint="eastAsia" w:ascii="仿宋_GB2312" w:hAnsi="仿宋_GB2312" w:eastAsia="仿宋_GB2312" w:cs="仿宋_GB2312"/>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高等数学</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课程教学，使学生能够获得相关专业课需要、适应未来工作及进一步发展所必需的重要的工程数学知识，掌握基本的数学思想方法，具备必要的数学应用技能，使学生具备较强的逻辑推理能力，提高利用数学知识解决工程类实际问题的能力，培养学生的创新精神和理性求实的科学精神。</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1.理论部分：函数概念、运算及专业与生活中常用的函数，极限概念、运算，导数概念、公式、运算、</w:t>
            </w:r>
            <w:r>
              <w:rPr>
                <w:rFonts w:hint="eastAsia" w:ascii="仿宋_GB2312" w:hAnsi="仿宋_GB2312" w:eastAsia="仿宋_GB2312" w:cs="仿宋_GB2312"/>
                <w:lang w:val="en-US" w:eastAsia="zh-CN"/>
              </w:rPr>
              <w:t>应用，微分，微分中值定理</w:t>
            </w:r>
            <w:r>
              <w:rPr>
                <w:rFonts w:hint="eastAsia" w:ascii="仿宋_GB2312" w:hAnsi="仿宋_GB2312" w:eastAsia="仿宋_GB2312" w:cs="仿宋_GB2312"/>
              </w:rPr>
              <w:t>微分</w:t>
            </w:r>
            <w:r>
              <w:rPr>
                <w:rFonts w:hint="eastAsia" w:ascii="仿宋_GB2312" w:hAnsi="仿宋_GB2312" w:eastAsia="仿宋_GB2312" w:cs="仿宋_GB2312"/>
                <w:lang w:eastAsia="zh-CN"/>
              </w:rPr>
              <w:t>，</w:t>
            </w:r>
            <w:r>
              <w:rPr>
                <w:rFonts w:hint="eastAsia" w:ascii="仿宋_GB2312" w:hAnsi="仿宋_GB2312" w:eastAsia="仿宋_GB2312" w:cs="仿宋_GB2312"/>
              </w:rPr>
              <w:t>曲率</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不定积分，定积分和定积分的应用，微分方程，向量代数与空间解析几何，多元函数微分学及其应用，重积分和无穷级数</w:t>
            </w:r>
            <w:r>
              <w:rPr>
                <w:rFonts w:hint="eastAsia" w:ascii="仿宋_GB2312" w:hAnsi="仿宋_GB2312" w:eastAsia="仿宋_GB2312" w:cs="仿宋_GB2312"/>
              </w:rPr>
              <w:t>等；</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2.实践部分：软件制图，软件计算函数极限、导数</w:t>
            </w:r>
            <w:r>
              <w:rPr>
                <w:rFonts w:hint="eastAsia" w:ascii="仿宋_GB2312" w:hAnsi="仿宋_GB2312" w:eastAsia="仿宋_GB2312" w:cs="仿宋_GB2312"/>
                <w:lang w:eastAsia="zh-CN"/>
              </w:rPr>
              <w:t>、</w:t>
            </w:r>
            <w:r>
              <w:rPr>
                <w:rFonts w:hint="eastAsia" w:ascii="仿宋_GB2312" w:hAnsi="仿宋_GB2312" w:eastAsia="仿宋_GB2312" w:cs="仿宋_GB2312"/>
              </w:rPr>
              <w:t>积分</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微分方程、偏导数、重积分、级数</w:t>
            </w:r>
            <w:r>
              <w:rPr>
                <w:rFonts w:hint="eastAsia" w:ascii="仿宋_GB2312" w:hAnsi="仿宋_GB2312" w:eastAsia="仿宋_GB2312" w:cs="仿宋_GB2312"/>
              </w:rPr>
              <w:t>等。</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2.教室要求：多媒体教室和机房；</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w:t>
            </w:r>
            <w:r>
              <w:rPr>
                <w:rFonts w:hint="eastAsia" w:ascii="仿宋_GB2312" w:hAnsi="仿宋_GB2312" w:eastAsia="仿宋_GB2312" w:cs="仿宋_GB2312"/>
                <w:lang w:val="en-US" w:eastAsia="zh-CN"/>
              </w:rPr>
              <w:t>形式</w:t>
            </w:r>
            <w:r>
              <w:rPr>
                <w:rFonts w:hint="eastAsia" w:ascii="仿宋_GB2312" w:hAnsi="仿宋_GB2312" w:eastAsia="仿宋_GB2312" w:cs="仿宋_GB2312"/>
              </w:rPr>
              <w:t>：平时成绩4</w:t>
            </w:r>
            <w:r>
              <w:rPr>
                <w:rFonts w:hint="eastAsia" w:ascii="仿宋_GB2312" w:hAnsi="仿宋_GB2312" w:eastAsia="仿宋_GB2312" w:cs="仿宋_GB2312"/>
                <w:lang w:val="en-US" w:eastAsia="zh-CN"/>
              </w:rPr>
              <w:t>5</w:t>
            </w:r>
            <w:r>
              <w:rPr>
                <w:rFonts w:hint="eastAsia" w:ascii="仿宋_GB2312" w:hAnsi="仿宋_GB2312" w:eastAsia="仿宋_GB2312" w:cs="仿宋_GB2312"/>
              </w:rPr>
              <w:t>%，期末考试成绩40%，数学实验成绩</w:t>
            </w:r>
            <w:r>
              <w:rPr>
                <w:rFonts w:hint="eastAsia" w:ascii="仿宋_GB2312" w:hAnsi="仿宋_GB2312" w:eastAsia="仿宋_GB2312" w:cs="仿宋_GB2312"/>
                <w:lang w:val="en-US" w:eastAsia="zh-CN"/>
              </w:rPr>
              <w:t>15</w:t>
            </w:r>
            <w:r>
              <w:rPr>
                <w:rFonts w:hint="eastAsia" w:ascii="仿宋_GB2312" w:hAnsi="仿宋_GB2312" w:eastAsia="仿宋_GB2312" w:cs="仿宋_GB231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21</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线性代数</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过课程教学，使学生能够获得相关专业课需要、适应未来工作及进一步发展所必需的重要的线性代数核心知识，掌握矩阵、向量和线性方程组的基本思想与方法，具备必要的矩阵运算、方程组求解及初步特征分析技能，使学生具备运用代数工具进行逻辑推理和空间想象的能力，提高学生利用线性代数方法解决数据处理与模型简化类实际问题的能力，培养学生的严谨思维和科学求实精神。</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 矩阵的概念、基本运算（加法、数乘、乘法、转置）及初等行变换，行列式的定义（低阶）、基本性质与计算（2、3阶为主），向量组的线性表示、线性相关性与线性无关性，线性方程组解的判定（有解、无解、唯一解、无穷多解）、求解方法（高斯消元法），矩阵的秩与向量组的秩的概念及其关系，特征值与特征向量的概念、性质及基本计算方法（2、3阶矩阵），特征值的初步应用（如矩阵对角化简介）等。</w:t>
            </w:r>
          </w:p>
        </w:tc>
        <w:tc>
          <w:tcPr>
            <w:tcW w:w="1194"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1.教学形式：混合式教学；</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3.考核</w:t>
            </w:r>
            <w:r>
              <w:rPr>
                <w:rFonts w:hint="eastAsia" w:ascii="仿宋_GB2312" w:hAnsi="仿宋_GB2312" w:eastAsia="仿宋_GB2312" w:cs="仿宋_GB2312"/>
                <w:lang w:val="en-US" w:eastAsia="zh-CN"/>
              </w:rPr>
              <w:t>形式</w:t>
            </w:r>
            <w:r>
              <w:rPr>
                <w:rFonts w:hint="eastAsia" w:ascii="仿宋_GB2312" w:hAnsi="仿宋_GB2312" w:eastAsia="仿宋_GB2312" w:cs="仿宋_GB2312"/>
              </w:rPr>
              <w:t>：平时成绩50%，期末考试成绩50%。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22</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精益生产与管理基础</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安全管理；制造执行系统(MES)；精益生产实训走线；走进精益生产（精益生产基础知识）；精益质量管理。</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1.教学形式：理实一体化；</w:t>
            </w:r>
          </w:p>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2.教室要求：精益生产实训工厂；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3.考核要求：过程性考核（实训走线）100%。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23</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信息技术</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丰富的教学内容和多样化的教学形式，帮助学生认识信息技术对人类生产、生活的重要作用，了解现代社会信息技术发展趋势，理解信息社会特征并遵循信息社会规范；使学生掌握常用的工具软件和信息化办公技术；使学生拥有团队意识和职业精神，具备独立思考和主动探究能力，为学生职业能力的持续发展奠定基础。</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包含文档处理、电子表格处理、演示文稿制作、信息检索、新一代信息技术概述、信息素养与社会责任六部分内容。</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1.教学形式：线上、线下混合式教学。</w:t>
            </w:r>
          </w:p>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2.考核要求：采用线上、线下全过程多元考核评价机制，课程成绩=线上部分（50%）+线下部分（50%）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教室要求：计算机机房授课。机房须满足以下基本条件：（1）1人1机：（2）能正常上网，能使用极域教辅软件收发文件，能登录超星课程网站；（3）能操作应用WPS办公软件的文档处理、电子表格处理、演示文稿制作这三个组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24</w:t>
            </w:r>
          </w:p>
        </w:tc>
        <w:tc>
          <w:tcPr>
            <w:tcW w:w="8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艺术修养</w:t>
            </w:r>
          </w:p>
        </w:tc>
        <w:tc>
          <w:tcPr>
            <w:tcW w:w="12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本课程的学习，引导学生从自身专业的角度，结合相关艺术学识，进行艺术修养与职业素养的培育与融通；同时，从艺术理论认知、艺术作品鉴赏、艺术创作实践三个方面，全方位提升学生的审美认知能力、艺术表现能力以及鉴赏表达能力，进而培养学生善于发掘生活中的艺术，并热爱艺术、热爱学习、热爱生活。</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教学内容主要分为美的历程（艺术理论认知）、美的体验（艺术创作实践）、美的感悟（艺术作品鉴赏）三大模块：</w:t>
            </w:r>
          </w:p>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美的历程-进行国内外艺术相关理论及现象的认知；</w:t>
            </w:r>
          </w:p>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美的体验-参与融合地域文化特色的非遗创作体验；</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美的感悟-对特定艺术作品进行鉴赏与表达，同时描述生活中的艺术。</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1.教学形式：混合式授课；</w:t>
            </w:r>
          </w:p>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2.教室要求：多媒体教室；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3.考核要求：平时考核50%，期末50%。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25</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人工智能应用基础</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通过理论与实践一体化的教学设计，使学生建立对人工智能（AI）的宏观认知，掌握AI核心技术的直观原理与典型应用场景，具备使用零代码AI工具和提示词工程解决实际问题的能力；引导学生理解AI伦理与社会影响，树立“技术向善”的职业价值观，培养面向未来的“智能工匠”素养。</w:t>
            </w:r>
          </w:p>
        </w:tc>
        <w:tc>
          <w:tcPr>
            <w:tcW w:w="1390"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AI通识：人工智能基本概念、发展简史、技术三驾马车（数据、算法、算力）。</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核心技术：机器学习、计算机视觉、自然语言处理（NLP）、生成式AI（AIGC）的直观原理与产业案例。</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行业应用：结合柳州特色产业（汽车制造、螺蛳粉电商等）的AI+智能制造、新零售、大健康、智慧城市等场景分析。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实践技能：零代码AI平台（如百度EasyDL）操作、提示词工程（Prompt Engineering）实战、数据素养基础。</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伦理思辨：AI偏见与隐私风险、深度伪造（Deepfake）应对、无人驾驶伦理困境等案例讨论。</w:t>
            </w:r>
          </w:p>
          <w:p>
            <w:pPr>
              <w:pStyle w:val="48"/>
              <w:bidi w:val="0"/>
              <w:rPr>
                <w:rFonts w:hint="eastAsia" w:ascii="仿宋_GB2312" w:hAnsi="仿宋_GB2312" w:eastAsia="仿宋_GB2312" w:cs="仿宋_GB2312"/>
              </w:rPr>
            </w:pP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1.教学形式：线上线下混合式教学，配套案例实训。</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2.考核要求：全过程多元考核，课程成绩=线上互动（30%）+实践任务（40%）+伦理思辨报告（30%）。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3.教室要求：计算机机房需满足1人1机，能访问AI工具平台（如Qwen、Midjourney、EasyDL、KIMI）。网络支持实时调用AI生成式工具，配备极域教辅软件及超星课程平台。</w:t>
            </w:r>
          </w:p>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4.资源配套：教材提供PPT、案例素材库。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hemeFill="background1"/>
          <w:tblCellMar>
            <w:top w:w="0" w:type="dxa"/>
            <w:left w:w="108" w:type="dxa"/>
            <w:bottom w:w="0" w:type="dxa"/>
            <w:right w:w="108" w:type="dxa"/>
          </w:tblCellMar>
        </w:tblPrEx>
        <w:trPr>
          <w:trHeight w:val="0" w:hRule="atLeast"/>
          <w:jc w:val="center"/>
        </w:trPr>
        <w:tc>
          <w:tcPr>
            <w:tcW w:w="402"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26</w:t>
            </w:r>
          </w:p>
        </w:tc>
        <w:tc>
          <w:tcPr>
            <w:tcW w:w="806" w:type="pct"/>
            <w:shd w:val="clear" w:color="auto" w:fill="FFFFFF" w:themeFill="background1"/>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精益生产与管理基础</w:t>
            </w:r>
          </w:p>
        </w:tc>
        <w:tc>
          <w:tcPr>
            <w:tcW w:w="1206"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通过本课程学习，掌握精益生产基本理论，认识现代工厂现场管理基本要素、运行流程以及信息系统的技术应用，将精益思想及方法应用于实际学习、生活与未来工作中问题的分析与解决，同时逐步养成创新和自我改善的思维和习惯，形成质量、效益、成本和团队协作的意识。</w:t>
            </w:r>
          </w:p>
        </w:tc>
        <w:tc>
          <w:tcPr>
            <w:tcW w:w="1390" w:type="pct"/>
            <w:shd w:val="clear" w:color="auto" w:fill="FFFFFF" w:themeFill="background1"/>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安全管理；制造执行系统(MES)；精益生产实训走线；走进精益生产（精益生产基础知识）；精益质量管理。</w:t>
            </w:r>
          </w:p>
        </w:tc>
        <w:tc>
          <w:tcPr>
            <w:tcW w:w="1194" w:type="pct"/>
            <w:shd w:val="clear" w:color="auto" w:fill="FFFFFF" w:themeFill="background1"/>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1.教学形式：理实一体化；</w:t>
            </w:r>
          </w:p>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2.教室要求：精益生产实训工厂；</w:t>
            </w:r>
          </w:p>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3.考核要求：过程性考核（实训走线）100%。</w:t>
            </w:r>
          </w:p>
        </w:tc>
      </w:tr>
    </w:tbl>
    <w:p>
      <w:pPr>
        <w:pStyle w:val="7"/>
        <w:jc w:val="center"/>
        <w:rPr>
          <w:rFonts w:hint="default" w:ascii="仿宋" w:hAnsi="仿宋" w:eastAsia="仿宋" w:cs="仿宋"/>
          <w:b/>
          <w:bCs/>
          <w:sz w:val="24"/>
          <w:szCs w:val="24"/>
          <w:highlight w:val="none"/>
          <w:lang w:val="en-US" w:eastAsia="zh-CN"/>
        </w:rPr>
      </w:pPr>
    </w:p>
    <w:p>
      <w:pPr>
        <w:bidi w:val="0"/>
        <w:rPr>
          <w:rFonts w:hint="eastAsia"/>
        </w:rPr>
      </w:pPr>
      <w:r>
        <w:rPr>
          <w:rFonts w:hint="eastAsia"/>
          <w:lang w:val="en-US" w:eastAsia="zh-CN"/>
        </w:rPr>
        <w:t>2.</w:t>
      </w:r>
      <w:r>
        <w:rPr>
          <w:rFonts w:hint="eastAsia"/>
        </w:rPr>
        <w:t>专业课程设置</w:t>
      </w:r>
    </w:p>
    <w:p>
      <w:pPr>
        <w:bidi w:val="0"/>
      </w:pPr>
      <w:r>
        <w:rPr>
          <w:rFonts w:hint="eastAsia"/>
          <w:lang w:eastAsia="zh-CN"/>
        </w:rPr>
        <w:t>（</w:t>
      </w:r>
      <w:r>
        <w:rPr>
          <w:rFonts w:hint="eastAsia"/>
          <w:lang w:val="en-US" w:eastAsia="zh-CN"/>
        </w:rPr>
        <w:t>1</w:t>
      </w:r>
      <w:r>
        <w:rPr>
          <w:rFonts w:hint="eastAsia"/>
          <w:lang w:eastAsia="zh-CN"/>
        </w:rPr>
        <w:t>）</w:t>
      </w:r>
      <w:r>
        <w:rPr>
          <w:rFonts w:hint="eastAsia"/>
        </w:rPr>
        <w:t>专业对应的职业/岗位分析</w:t>
      </w:r>
    </w:p>
    <w:p>
      <w:pPr>
        <w:bidi w:val="0"/>
        <w:rPr>
          <w:rFonts w:hint="eastAsia"/>
        </w:rPr>
      </w:pPr>
      <w:r>
        <w:rPr>
          <w:rFonts w:hint="eastAsia"/>
        </w:rPr>
        <w:t>见附件。</w:t>
      </w:r>
    </w:p>
    <w:p>
      <w:pPr>
        <w:rPr>
          <w:rFonts w:hint="eastAsia"/>
        </w:rPr>
      </w:pPr>
      <w:r>
        <w:rPr>
          <w:rFonts w:hint="eastAsia"/>
        </w:rPr>
        <w:br w:type="page"/>
      </w:r>
    </w:p>
    <w:p>
      <w:pPr>
        <w:bidi w:val="0"/>
        <w:rPr>
          <w:rFonts w:hint="eastAsia"/>
          <w:lang w:eastAsia="zh-CN"/>
        </w:rPr>
        <w:sectPr>
          <w:pgSz w:w="11906" w:h="16838"/>
          <w:pgMar w:top="1440" w:right="1803" w:bottom="1440" w:left="1803" w:header="851" w:footer="992" w:gutter="0"/>
          <w:pgNumType w:fmt="decimal"/>
          <w:cols w:space="0" w:num="1"/>
          <w:docGrid w:type="lines" w:linePitch="319" w:charSpace="0"/>
        </w:sectPr>
      </w:pPr>
    </w:p>
    <w:p>
      <w:pPr>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主要设置的专业课程</w:t>
      </w:r>
    </w:p>
    <w:p>
      <w:pPr>
        <w:bidi w:val="0"/>
        <w:rPr>
          <w:rFonts w:hint="eastAsia" w:ascii="仿宋" w:hAnsi="仿宋" w:eastAsia="仿宋" w:cs="仿宋"/>
          <w:szCs w:val="28"/>
        </w:rPr>
      </w:pPr>
      <w:r>
        <w:rPr>
          <w:rFonts w:hint="eastAsia"/>
        </w:rPr>
        <w:t>对设置的专业课程进行简要描述，其中要有企业课程并进行标注。</w:t>
      </w:r>
    </w:p>
    <w:p>
      <w:pPr>
        <w:pStyle w:val="7"/>
        <w:jc w:val="center"/>
        <w:rPr>
          <w:rFonts w:hint="eastAsia" w:ascii="仿宋" w:hAnsi="仿宋" w:eastAsia="仿宋" w:cs="仿宋"/>
          <w:b/>
          <w:bCs/>
          <w:sz w:val="24"/>
          <w:szCs w:val="24"/>
          <w:highlight w:val="none"/>
          <w:lang w:val="en-US" w:eastAsia="zh-CN"/>
        </w:rPr>
      </w:pPr>
      <w:r>
        <w:rPr>
          <w:rFonts w:hint="eastAsia" w:ascii="仿宋" w:hAnsi="仿宋" w:eastAsia="仿宋" w:cs="仿宋"/>
          <w:b/>
          <w:bCs/>
          <w:sz w:val="24"/>
          <w:szCs w:val="24"/>
          <w:highlight w:val="none"/>
          <w:lang w:val="en-US" w:eastAsia="zh-CN"/>
        </w:rPr>
        <w:t>表6-3专业核心课程描述</w:t>
      </w:r>
    </w:p>
    <w:tbl>
      <w:tblPr>
        <w:tblStyle w:val="1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6"/>
        <w:gridCol w:w="2347"/>
        <w:gridCol w:w="3352"/>
        <w:gridCol w:w="3787"/>
        <w:gridCol w:w="3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875" w:type="dxa"/>
            <w:vAlign w:val="center"/>
          </w:tcPr>
          <w:p>
            <w:pPr>
              <w:pStyle w:val="47"/>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序号</w:t>
            </w:r>
          </w:p>
        </w:tc>
        <w:tc>
          <w:tcPr>
            <w:tcW w:w="1410"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课程名称</w:t>
            </w:r>
          </w:p>
        </w:tc>
        <w:tc>
          <w:tcPr>
            <w:tcW w:w="2014"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课程目标</w:t>
            </w:r>
          </w:p>
        </w:tc>
        <w:tc>
          <w:tcPr>
            <w:tcW w:w="2275" w:type="dxa"/>
            <w:vAlign w:val="center"/>
          </w:tcPr>
          <w:p>
            <w:pPr>
              <w:pStyle w:val="47"/>
              <w:bidi w:val="0"/>
              <w:rPr>
                <w:rFonts w:hint="eastAsia" w:ascii="仿宋_GB2312" w:hAnsi="仿宋_GB2312" w:eastAsia="仿宋_GB2312" w:cs="仿宋_GB2312"/>
                <w:lang w:val="en-US" w:eastAsia="zh-CN"/>
              </w:rPr>
            </w:pPr>
            <w:r>
              <w:rPr>
                <w:rFonts w:hint="eastAsia" w:ascii="仿宋_GB2312" w:hAnsi="仿宋_GB2312" w:eastAsia="仿宋_GB2312" w:cs="仿宋_GB2312"/>
              </w:rPr>
              <w:t>主要内容</w:t>
            </w:r>
          </w:p>
        </w:tc>
        <w:tc>
          <w:tcPr>
            <w:tcW w:w="1942"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教学要求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141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工业控制网络技术</w:t>
            </w:r>
          </w:p>
          <w:p>
            <w:pPr>
              <w:pStyle w:val="6"/>
              <w:rPr>
                <w:rFonts w:hint="eastAsia" w:ascii="仿宋_GB2312" w:hAnsi="仿宋_GB2312" w:eastAsia="仿宋_GB2312" w:cs="仿宋_GB2312"/>
                <w:lang w:val="en-US"/>
              </w:rPr>
            </w:pP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ind w:firstLine="480" w:firstLineChars="200"/>
              <w:rPr>
                <w:rFonts w:hint="eastAsia" w:ascii="仿宋_GB2312" w:hAnsi="仿宋_GB2312" w:eastAsia="仿宋_GB2312" w:cs="仿宋_GB2312"/>
              </w:rPr>
            </w:pPr>
            <w:r>
              <w:rPr>
                <w:rFonts w:hint="eastAsia" w:ascii="仿宋_GB2312" w:hAnsi="仿宋_GB2312" w:eastAsia="仿宋_GB2312" w:cs="仿宋_GB2312"/>
              </w:rPr>
              <w:t>深入理解工业控制网络的概念、原理、体系结构、通信协议等，熟悉网络拓扑结构和设备选型原则。能够规划、设计、配置工业控制网络，诊断并维护网络故障。将所学技术用于实际工业控制系统，紧跟技术发展趋势，具备团队协作和沟通能力以完成复杂工业控制项目。</w:t>
            </w:r>
          </w:p>
        </w:tc>
        <w:tc>
          <w:tcPr>
            <w:tcW w:w="2275" w:type="dxa"/>
            <w:vAlign w:val="center"/>
          </w:tcPr>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1.</w:t>
            </w:r>
            <w:r>
              <w:rPr>
                <w:rFonts w:hint="eastAsia" w:ascii="仿宋_GB2312" w:hAnsi="仿宋_GB2312" w:eastAsia="仿宋_GB2312" w:cs="仿宋_GB2312"/>
              </w:rPr>
              <w:t>了解基本概念、发展历程和应用领域，熟悉常见工业网络协议</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2.</w:t>
            </w:r>
            <w:r>
              <w:rPr>
                <w:rFonts w:hint="eastAsia" w:ascii="仿宋_GB2312" w:hAnsi="仿宋_GB2312" w:eastAsia="仿宋_GB2312" w:cs="仿宋_GB2312"/>
              </w:rPr>
              <w:t>掌握协议原理，完成PLC1200通讯配置及数据采集显示</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3.</w:t>
            </w:r>
            <w:r>
              <w:rPr>
                <w:rFonts w:hint="eastAsia" w:ascii="仿宋_GB2312" w:hAnsi="仿宋_GB2312" w:eastAsia="仿宋_GB2312" w:cs="仿宋_GB2312"/>
              </w:rPr>
              <w:t>理解协议特点，熟练配置PLC1500通讯及数据采集显示</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4.</w:t>
            </w:r>
            <w:r>
              <w:rPr>
                <w:rFonts w:hint="eastAsia" w:ascii="仿宋_GB2312" w:hAnsi="仿宋_GB2312" w:eastAsia="仿宋_GB2312" w:cs="仿宋_GB2312"/>
              </w:rPr>
              <w:t>理解TCP/IP协议，掌握PLC与不同设备通讯配置</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5.</w:t>
            </w:r>
            <w:r>
              <w:rPr>
                <w:rFonts w:hint="eastAsia" w:ascii="仿宋_GB2312" w:hAnsi="仿宋_GB2312" w:eastAsia="仿宋_GB2312" w:cs="仿宋_GB2312"/>
              </w:rPr>
              <w:t>了解协议优势，熟悉网络结构及配置方法，完成PLC远程IO配置</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6.</w:t>
            </w:r>
            <w:r>
              <w:rPr>
                <w:rFonts w:hint="eastAsia" w:ascii="仿宋_GB2312" w:hAnsi="仿宋_GB2312" w:eastAsia="仿宋_GB2312" w:cs="仿宋_GB2312"/>
              </w:rPr>
              <w:t>理解工作原理，完成远程IO配置及触摸屏组态</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7.</w:t>
            </w:r>
            <w:r>
              <w:rPr>
                <w:rFonts w:hint="eastAsia" w:ascii="仿宋_GB2312" w:hAnsi="仿宋_GB2312" w:eastAsia="仿宋_GB2312" w:cs="仿宋_GB2312"/>
              </w:rPr>
              <w:t>掌握PLC 间通讯及伺服电机控制方法</w:t>
            </w:r>
            <w:r>
              <w:rPr>
                <w:rFonts w:hint="eastAsia" w:ascii="仿宋_GB2312" w:hAnsi="仿宋_GB2312" w:eastAsia="仿宋_GB2312" w:cs="仿宋_GB2312"/>
                <w:lang w:eastAsia="zh-CN"/>
              </w:rPr>
              <w:t>；</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8.</w:t>
            </w:r>
            <w:r>
              <w:rPr>
                <w:rFonts w:hint="eastAsia" w:ascii="仿宋_GB2312" w:hAnsi="仿宋_GB2312" w:eastAsia="仿宋_GB2312" w:cs="仿宋_GB2312"/>
              </w:rPr>
              <w:t>理解OPC技术，掌握PLC与Wincc数据交互配置</w:t>
            </w:r>
            <w:r>
              <w:rPr>
                <w:rFonts w:hint="eastAsia" w:ascii="仿宋_GB2312" w:hAnsi="仿宋_GB2312" w:eastAsia="仿宋_GB2312" w:cs="仿宋_GB2312"/>
                <w:lang w:eastAsia="zh-CN"/>
              </w:rPr>
              <w:t>。</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混合式授课；</w:t>
            </w:r>
          </w:p>
          <w:p>
            <w:pPr>
              <w:pStyle w:val="48"/>
              <w:numPr>
                <w:ilvl w:val="0"/>
                <w:numId w:val="1"/>
              </w:num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教室要求：</w:t>
            </w:r>
          </w:p>
          <w:p>
            <w:pPr>
              <w:pStyle w:val="48"/>
              <w:numPr>
                <w:ilvl w:val="0"/>
                <w:numId w:val="0"/>
              </w:num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配置有PLC、远程IO、触摸屏、交换机、传感器等设备一体化教室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课堂表现，10%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考勤+小测试，40%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期末测试理论+实操，50%。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141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工业机器人应用技术</w:t>
            </w: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具备工业机器人编程调试、工业机器人坐标系变换设置、轨迹分析优化、机器人I/O信号配置、PLC网络通信及工业机器人典型工艺应用调试的能力，即具备完成单个典型工业机器人工作站工艺分析、程序设计与优化、维护升级的能力。</w:t>
            </w:r>
          </w:p>
        </w:tc>
        <w:tc>
          <w:tcPr>
            <w:tcW w:w="22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1.工业机器人应用实践</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2.工业机器人运动轨迹实践与分析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3.工业机器人坐标系转换与设置</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4.工业机器人搬运工作站编程与调试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5.工业机器人视觉分拣工作站编程与调试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6.工业机器人弧焊工作站编程与调试</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混合式教学</w:t>
            </w:r>
          </w:p>
          <w:p>
            <w:pPr>
              <w:pStyle w:val="48"/>
              <w:numPr>
                <w:ilvl w:val="0"/>
                <w:numId w:val="0"/>
              </w:numPr>
              <w:bidi w:val="0"/>
              <w:ind w:leftChars="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w:t>
            </w:r>
          </w:p>
          <w:p>
            <w:pPr>
              <w:pStyle w:val="48"/>
              <w:numPr>
                <w:ilvl w:val="0"/>
                <w:numId w:val="0"/>
              </w:numPr>
              <w:bidi w:val="0"/>
              <w:ind w:leftChars="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工业机器人典型应用编程一体化实训室完成。实训室内配备有工业机器人工作站8套；</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工业机器人工作站的程序编写与功能测试：现场评估+视频</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40%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机器人运动学模型建立测验证实验：现场评估+文档评审</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机器人运动学模型建立测验证实验：文档评审+PPT汇报</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客观+主观题考试</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4"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141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传感器与视觉检测技术</w:t>
            </w: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通过本课程的学习和训练，学生将能够掌握传感器和视觉系统硬件的选型、设计以及安装调试相关知识和技能，具备独立开发、Halcon视觉软件设计与优化和搭建工业视觉系统的能力。</w:t>
            </w:r>
          </w:p>
        </w:tc>
        <w:tc>
          <w:tcPr>
            <w:tcW w:w="22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1.温湿度传感器工作原理及其安装与数据采集分析；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2.压力、气体压力传感器工作原理及数据采集分析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3.气体流量、扫描枪传感器工作原理及数据采集分析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4.激光测距传感器工作原理及数据采集分析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5.智能电表工作原理及其安装与数据采集分析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6.机器视觉系统的结构与原理及其装调</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7.数据集制作与图像处理基本原理项目9：机械零件尺寸、垫圈内外径测量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8.单一、多种零件定位搬运项目</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9.二维码识别与应用</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10.产品表面污点检测</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11.传感器与视觉系统的综合应用</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配套有传感器与机器视觉设备教室；</w:t>
            </w:r>
          </w:p>
          <w:p>
            <w:pPr>
              <w:pStyle w:val="48"/>
              <w:numPr>
                <w:ilvl w:val="0"/>
                <w:numId w:val="1"/>
              </w:numPr>
              <w:bidi w:val="0"/>
              <w:ind w:left="0" w:leftChars="0" w:firstLine="0" w:firstLineChars="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考核要求：</w:t>
            </w:r>
          </w:p>
          <w:p>
            <w:pPr>
              <w:pStyle w:val="48"/>
              <w:numPr>
                <w:ilvl w:val="0"/>
                <w:numId w:val="0"/>
              </w:numPr>
              <w:bidi w:val="0"/>
              <w:ind w:leftChars="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传感器综合应用：现场评估+视频</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视觉系统综合应用：现场评估+视频</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30%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技术文档与项目汇报</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文档评审+PPT汇报</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10%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理论知识考核</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1410" w:type="dxa"/>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智能生产单元创新设计</w:t>
            </w: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精通智能生产单元设计的基础知识，包括分析设计过程中的影响因素并制定全面的设计方案。课程内容涵盖创新设计方法，在设计中实现创新。学生将学习使用三维软件进行结构设计、装配和工程图制作，以及掌握从设计到原型制作的全过程，包括解决实际问题和进行仿真测试与性能分析。</w:t>
            </w:r>
          </w:p>
        </w:tc>
        <w:tc>
          <w:tcPr>
            <w:tcW w:w="22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1.智能生产单元创新设计案例分析；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2.智能生产单元生产场景及设计要求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3.智能生产单元方案设计及论证</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4.智能生产单元工装夹具设计</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5.智能生产单工装夹具装配</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6.智能生产单工装夹具工艺可行性仿真</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混合式授课；</w:t>
            </w:r>
          </w:p>
          <w:p>
            <w:pPr>
              <w:pStyle w:val="48"/>
              <w:numPr>
                <w:ilvl w:val="0"/>
                <w:numId w:val="2"/>
              </w:num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教室要求：</w:t>
            </w:r>
          </w:p>
          <w:p>
            <w:pPr>
              <w:pStyle w:val="48"/>
              <w:numPr>
                <w:ilvl w:val="0"/>
                <w:numId w:val="0"/>
              </w:numPr>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配备配备常用机构实物模型等教学用具；</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配备带普通黑板以及多媒体设备教室；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配备配置高性能的图形处理电脑；</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过程考核40%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终结性考核30%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在线测试30%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1410" w:type="dxa"/>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工业机器人集成与调试</w:t>
            </w: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具有初步工业机器人工作站与外围设备集成、设计工业机器人与外围设备的接口电路、编写调试机器人程序及PLC程序、设计工业机器人工作站人机监控界面的能力，即具备应用机器人完成一个中等难度控制系统集成规划、编程设计、调试维护的能力，具备解决机器人工作站系统集成工程实际问题能力。</w:t>
            </w:r>
          </w:p>
        </w:tc>
        <w:tc>
          <w:tcPr>
            <w:tcW w:w="22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1.工业机器人伺服轴定位控制设计与调试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2.工业机器人与仓储系统集成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3.工业机器人与视觉检测系统集成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4.工业机器人与数控加工系统集成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5.工业机器人多类型工具快速更换设计与调试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6.机器人智能制造系统人机界面设计与调试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7.工业器人智能制造工作站系统集成调试</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实训室内配备有智能制造单元系统集成应用平台4套，虚拟仿真软件20套；</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平时工作表现：学习态度、课堂纪律、课堂活动参与情况、作业测试情况</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真实智能制造系统组建与调试运行：阶段性功能评测及个人任务完成度</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系统功能联调评估</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项目汇报与答辩：汇报展示+现场答辩+文档评审</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25%</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技术报告撰写：文档评审</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c>
          <w:tcPr>
            <w:tcW w:w="141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智能制造装备及系统</w:t>
            </w: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通过本课程的学习和训练，理解智能制造的核心概念、技术和应用，特别是在MES系统中的应用；掌握MES系统的设计、实施和管理的关键技能；能够分析和解决智能制造装备及系统中的实际问题</w:t>
            </w:r>
          </w:p>
        </w:tc>
        <w:tc>
          <w:tcPr>
            <w:tcW w:w="22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1.MES系统功能模块</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2.生产调度与排程</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3.库存与物料管理</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4.质量管理与控制</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5.设备监控与维护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6.数据采集与分析</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7.系统集成与通信</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8.用户界面与操作</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9.系统监控与故障排除</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配备有连接上互联网的机房</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职业素养与课堂表现：</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10%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平时教学互动：</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考勤+小测试</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40%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期末测试：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理论+实操</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8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c>
          <w:tcPr>
            <w:tcW w:w="141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智能制造系统集成与调试</w:t>
            </w:r>
            <w:r>
              <w:rPr>
                <w:rFonts w:hint="eastAsia" w:ascii="仿宋_GB2312" w:hAnsi="仿宋_GB2312" w:eastAsia="仿宋_GB2312" w:cs="仿宋_GB2312"/>
                <w:kern w:val="2"/>
                <w:sz w:val="24"/>
                <w:szCs w:val="24"/>
                <w:lang w:val="en-US" w:eastAsia="zh-CN" w:bidi="ar-SA"/>
              </w:rPr>
              <w:t>（企业）</w:t>
            </w:r>
          </w:p>
        </w:tc>
        <w:tc>
          <w:tcPr>
            <w:tcW w:w="201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掌握智能加工单元装备布局设计、数控加工生产工艺、装备控制理论基础，能运用合理的规划工具进行智能制造单元布局设计、能根据工艺需求完成智能化装备安装与系统调试能力，</w:t>
            </w:r>
          </w:p>
        </w:tc>
        <w:tc>
          <w:tcPr>
            <w:tcW w:w="2275"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1.掌握智能制造单元集成方案规划与设计、关键装备与元器件选型、控制系统设计</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2.根据工艺需求对数控机床气动门、机床夹具进行改造，并对其气动门、动力夹具进行控制，实现数控系统与外部系统的互联互通</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3.能根据工艺需求完成视觉、RIFID、传感器、HMI等外围设备安装与网络调试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4.能够根据工艺要求调制切削参数完成零件加工测试</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5.能根据选型完成工业机器人本体及控制柜、末端抓手、电气控制回路的安装并完成任务示教</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6.根据加工流程，利用虚实结合方式完成主控 PLC 与智能制造单元设备虚实联调</w:t>
            </w:r>
          </w:p>
        </w:tc>
        <w:tc>
          <w:tcPr>
            <w:tcW w:w="194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1.教学形式：</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混合式授课；</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2.教室要求：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具备工业机器热、数控机床、电脑一体化教室；</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3.考核要求：</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职业素养 10%</w:t>
            </w:r>
            <w:r>
              <w:rPr>
                <w:rFonts w:hint="eastAsia" w:ascii="仿宋_GB2312" w:hAnsi="仿宋_GB2312" w:eastAsia="仿宋_GB2312" w:cs="仿宋_GB2312"/>
                <w:lang w:val="en-US" w:eastAsia="zh-CN"/>
              </w:rPr>
              <w:tab/>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作业或练习</w:t>
            </w:r>
            <w:r>
              <w:rPr>
                <w:rFonts w:hint="eastAsia" w:ascii="仿宋_GB2312" w:hAnsi="仿宋_GB2312" w:eastAsia="仿宋_GB2312" w:cs="仿宋_GB2312"/>
                <w:lang w:val="en-US" w:eastAsia="zh-CN"/>
              </w:rPr>
              <w:tab/>
            </w:r>
            <w:r>
              <w:rPr>
                <w:rFonts w:hint="eastAsia" w:ascii="仿宋_GB2312" w:hAnsi="仿宋_GB2312" w:eastAsia="仿宋_GB2312" w:cs="仿宋_GB2312"/>
                <w:lang w:val="en-US" w:eastAsia="zh-CN"/>
              </w:rPr>
              <w:t>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平时测试 20%</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期末考核：50%</w:t>
            </w:r>
            <w:r>
              <w:rPr>
                <w:rFonts w:hint="eastAsia" w:ascii="仿宋_GB2312" w:hAnsi="仿宋_GB2312" w:eastAsia="仿宋_GB2312" w:cs="仿宋_GB2312"/>
                <w:lang w:val="en-US" w:eastAsia="zh-CN"/>
              </w:rPr>
              <w:tab/>
            </w:r>
          </w:p>
          <w:p>
            <w:pPr>
              <w:pStyle w:val="6"/>
              <w:rPr>
                <w:rFonts w:hint="eastAsia" w:ascii="仿宋_GB2312" w:hAnsi="仿宋_GB2312" w:eastAsia="仿宋_GB2312" w:cs="仿宋_GB2312"/>
                <w:lang w:val="en-US" w:eastAsia="zh-CN"/>
              </w:rPr>
            </w:pPr>
          </w:p>
        </w:tc>
      </w:tr>
    </w:tbl>
    <w:p>
      <w:pPr>
        <w:rPr>
          <w:rFonts w:hint="eastAsia"/>
          <w:lang w:val="en-US" w:eastAsia="zh-CN"/>
        </w:rPr>
      </w:pPr>
      <w:r>
        <w:rPr>
          <w:rFonts w:hint="eastAsia"/>
          <w:lang w:val="en-US" w:eastAsia="zh-CN"/>
        </w:rPr>
        <w:br w:type="page"/>
      </w:r>
    </w:p>
    <w:p>
      <w:pPr>
        <w:bidi w:val="0"/>
        <w:ind w:left="0" w:leftChars="0" w:firstLine="0" w:firstLineChars="0"/>
        <w:rPr>
          <w:rFonts w:hint="eastAsia"/>
          <w:lang w:val="en-US" w:eastAsia="zh-CN"/>
        </w:rPr>
        <w:sectPr>
          <w:pgSz w:w="16838" w:h="11906" w:orient="landscape"/>
          <w:pgMar w:top="1803" w:right="1440" w:bottom="1803" w:left="1440" w:header="851" w:footer="992" w:gutter="0"/>
          <w:pgNumType w:fmt="decimal"/>
          <w:cols w:space="0" w:num="1"/>
          <w:docGrid w:type="lines" w:linePitch="319" w:charSpace="0"/>
        </w:sectPr>
      </w:pPr>
    </w:p>
    <w:p>
      <w:pPr>
        <w:bidi w:val="0"/>
        <w:ind w:left="0" w:leftChars="0" w:firstLine="0" w:firstLineChars="0"/>
        <w:rPr>
          <w:rFonts w:hint="default"/>
          <w:lang w:val="en-US" w:eastAsia="zh-CN"/>
        </w:rPr>
      </w:pPr>
      <w:r>
        <w:rPr>
          <w:rFonts w:hint="eastAsia"/>
          <w:lang w:val="en-US" w:eastAsia="zh-CN"/>
        </w:rPr>
        <w:t>（3）综合实践课程</w:t>
      </w:r>
    </w:p>
    <w:p>
      <w:pPr>
        <w:bidi w:val="0"/>
        <w:rPr>
          <w:rFonts w:hint="eastAsia"/>
        </w:rPr>
      </w:pPr>
      <w:r>
        <w:rPr>
          <w:rFonts w:hint="eastAsia"/>
          <w:lang w:val="en-US" w:eastAsia="zh-CN"/>
        </w:rPr>
        <w:t>①</w:t>
      </w:r>
      <w:r>
        <w:rPr>
          <w:rFonts w:hint="eastAsia"/>
        </w:rPr>
        <w:t>实践教学体系</w:t>
      </w:r>
    </w:p>
    <w:p>
      <w:pPr>
        <w:bidi w:val="0"/>
        <w:rPr>
          <w:rFonts w:hint="eastAsia"/>
        </w:rPr>
      </w:pPr>
      <w:r>
        <w:rPr>
          <w:rFonts w:hint="eastAsia"/>
        </w:rPr>
        <w:t>根据装备智能化技术专业在装备智能化集成开发应用、智能生产管控、装备大数据智能运维中等相关环节的技术领域，构建基础技能实践、专业技能实践、工程技能实践、生产综合实践四个环节实践教学体系，同时结合学校现有技能大师工作室、协同创新研究院搭建以创新创业基地为中心的学生创新创业实践平台。</w:t>
      </w:r>
    </w:p>
    <w:p>
      <w:pPr>
        <w:pStyle w:val="24"/>
        <w:adjustRightInd w:val="0"/>
        <w:snapToGrid w:val="0"/>
        <w:spacing w:line="360" w:lineRule="auto"/>
        <w:rPr>
          <w:rFonts w:hint="eastAsia"/>
          <w:lang w:eastAsia="zh-CN"/>
        </w:rPr>
      </w:pPr>
      <w:r>
        <w:rPr>
          <w:rFonts w:hint="eastAsia"/>
          <w:lang w:eastAsia="zh-CN"/>
        </w:rPr>
        <w:drawing>
          <wp:inline distT="0" distB="0" distL="114300" distR="114300">
            <wp:extent cx="5268595" cy="3161030"/>
            <wp:effectExtent l="0" t="0" r="1905" b="1270"/>
            <wp:docPr id="12" name="图片 12" descr="dbfa939c614b555e67f9b42f0c106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bfa939c614b555e67f9b42f0c1069c"/>
                    <pic:cNvPicPr>
                      <a:picLocks noChangeAspect="1"/>
                    </pic:cNvPicPr>
                  </pic:nvPicPr>
                  <pic:blipFill>
                    <a:blip r:embed="rId12"/>
                    <a:stretch>
                      <a:fillRect/>
                    </a:stretch>
                  </pic:blipFill>
                  <pic:spPr>
                    <a:xfrm>
                      <a:off x="0" y="0"/>
                      <a:ext cx="5268595" cy="3161030"/>
                    </a:xfrm>
                    <a:prstGeom prst="rect">
                      <a:avLst/>
                    </a:prstGeom>
                  </pic:spPr>
                </pic:pic>
              </a:graphicData>
            </a:graphic>
          </wp:inline>
        </w:drawing>
      </w:r>
    </w:p>
    <w:p>
      <w:pPr>
        <w:pStyle w:val="50"/>
        <w:bidi w:val="0"/>
        <w:rPr>
          <w:rFonts w:hint="default"/>
          <w:lang w:val="en-US" w:eastAsia="zh-CN"/>
        </w:rPr>
      </w:pPr>
      <w:r>
        <w:rPr>
          <w:rFonts w:hint="eastAsia"/>
          <w:lang w:val="en-US" w:eastAsia="zh-CN"/>
        </w:rPr>
        <w:t>图6-3装备智能化技术</w:t>
      </w:r>
      <w:r>
        <w:rPr>
          <w:rFonts w:hint="eastAsia"/>
        </w:rPr>
        <w:t>实践教学体系</w:t>
      </w:r>
    </w:p>
    <w:p>
      <w:pPr>
        <w:bidi w:val="0"/>
        <w:rPr>
          <w:rFonts w:hint="eastAsia"/>
        </w:rPr>
      </w:pPr>
      <w:r>
        <w:rPr>
          <w:rFonts w:hint="eastAsia"/>
          <w:lang w:val="en-US" w:eastAsia="zh-CN"/>
        </w:rPr>
        <w:t>②</w:t>
      </w:r>
      <w:r>
        <w:rPr>
          <w:rFonts w:hint="eastAsia"/>
        </w:rPr>
        <w:t>综合实践课程</w:t>
      </w:r>
    </w:p>
    <w:p>
      <w:pPr>
        <w:bidi w:val="0"/>
      </w:pPr>
      <w:r>
        <w:rPr>
          <w:rFonts w:hint="eastAsia"/>
        </w:rPr>
        <w:t>主要包括实训</w:t>
      </w:r>
      <w:r>
        <w:rPr>
          <w:rFonts w:hint="eastAsia"/>
          <w:lang w:eastAsia="zh-CN"/>
        </w:rPr>
        <w:t>、</w:t>
      </w:r>
      <w:r>
        <w:rPr>
          <w:rFonts w:hint="eastAsia"/>
          <w:lang w:val="en-US" w:eastAsia="zh-CN"/>
        </w:rPr>
        <w:t>课程设计、</w:t>
      </w:r>
      <w:r>
        <w:rPr>
          <w:rFonts w:hint="eastAsia"/>
        </w:rPr>
        <w:t>实习、</w:t>
      </w:r>
      <w:r>
        <w:rPr>
          <w:rFonts w:hint="eastAsia"/>
          <w:lang w:val="en-US" w:eastAsia="zh-CN"/>
        </w:rPr>
        <w:t>毕业设计</w:t>
      </w:r>
      <w:r>
        <w:rPr>
          <w:rFonts w:hint="eastAsia"/>
        </w:rPr>
        <w:t>等。要有在企业实践环节的安排。</w:t>
      </w:r>
    </w:p>
    <w:p>
      <w:pPr>
        <w:bidi w:val="0"/>
        <w:rPr>
          <w:rFonts w:hint="eastAsia"/>
          <w:lang w:val="en-US" w:eastAsia="zh-CN"/>
        </w:rPr>
      </w:pPr>
      <w:r>
        <w:rPr>
          <w:rFonts w:hint="eastAsia"/>
          <w:lang w:val="en-US" w:eastAsia="zh-CN"/>
        </w:rPr>
        <w:t>a.实训安排</w:t>
      </w:r>
    </w:p>
    <w:tbl>
      <w:tblPr>
        <w:tblStyle w:val="16"/>
        <w:tblW w:w="495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1"/>
        <w:gridCol w:w="1868"/>
        <w:gridCol w:w="774"/>
        <w:gridCol w:w="1912"/>
        <w:gridCol w:w="1444"/>
        <w:gridCol w:w="15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510"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序号</w:t>
            </w:r>
          </w:p>
        </w:tc>
        <w:tc>
          <w:tcPr>
            <w:tcW w:w="1106"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实训环节</w:t>
            </w:r>
          </w:p>
        </w:tc>
        <w:tc>
          <w:tcPr>
            <w:tcW w:w="458" w:type="pct"/>
            <w:shd w:val="clear" w:color="auto" w:fill="auto"/>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学期</w:t>
            </w:r>
          </w:p>
        </w:tc>
        <w:tc>
          <w:tcPr>
            <w:tcW w:w="1132"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产出/成果</w:t>
            </w:r>
          </w:p>
        </w:tc>
        <w:tc>
          <w:tcPr>
            <w:tcW w:w="855"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依托课程</w:t>
            </w:r>
          </w:p>
        </w:tc>
        <w:tc>
          <w:tcPr>
            <w:tcW w:w="935"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1106"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电工技能实训</w:t>
            </w:r>
          </w:p>
        </w:tc>
        <w:tc>
          <w:tcPr>
            <w:tcW w:w="4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1132"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完成三相异步电动机的控制线路以及常用照明电路接线与测试</w:t>
            </w:r>
          </w:p>
        </w:tc>
        <w:tc>
          <w:tcPr>
            <w:tcW w:w="855"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电工与电子技术</w:t>
            </w:r>
          </w:p>
        </w:tc>
        <w:tc>
          <w:tcPr>
            <w:tcW w:w="935"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柳州福臻车体实业有限公司、柳州商泰机械有限公司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1106"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kern w:val="2"/>
                <w:sz w:val="24"/>
                <w:szCs w:val="24"/>
                <w:lang w:val="en-US" w:eastAsia="zh-CN" w:bidi="ar-SA"/>
              </w:rPr>
              <w:t>CAD工程图绘制</w:t>
            </w:r>
          </w:p>
        </w:tc>
        <w:tc>
          <w:tcPr>
            <w:tcW w:w="458"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2</w:t>
            </w:r>
          </w:p>
        </w:tc>
        <w:tc>
          <w:tcPr>
            <w:tcW w:w="1132"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利用CAD绘图软件完成</w:t>
            </w:r>
            <w:r>
              <w:rPr>
                <w:rFonts w:hint="eastAsia" w:ascii="仿宋_GB2312" w:hAnsi="仿宋_GB2312" w:eastAsia="仿宋_GB2312" w:cs="仿宋_GB2312"/>
              </w:rPr>
              <w:t>轴套类、盘盖类零件</w:t>
            </w:r>
            <w:r>
              <w:rPr>
                <w:rFonts w:hint="eastAsia" w:ascii="仿宋_GB2312" w:hAnsi="仿宋_GB2312" w:eastAsia="仿宋_GB2312" w:cs="仿宋_GB2312"/>
                <w:lang w:val="en-US" w:eastAsia="zh-CN"/>
              </w:rPr>
              <w:t>工程图绘制</w:t>
            </w:r>
          </w:p>
        </w:tc>
        <w:tc>
          <w:tcPr>
            <w:tcW w:w="855"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rPr>
              <w:t>机械制图</w:t>
            </w:r>
            <w:r>
              <w:rPr>
                <w:rFonts w:hint="eastAsia" w:ascii="仿宋_GB2312" w:hAnsi="仿宋_GB2312" w:eastAsia="仿宋_GB2312" w:cs="仿宋_GB2312"/>
                <w:lang w:eastAsia="zh-CN"/>
              </w:rPr>
              <w:t>、机械设计基础</w:t>
            </w:r>
          </w:p>
        </w:tc>
        <w:tc>
          <w:tcPr>
            <w:tcW w:w="935"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柳州五菱汽车科技有限公司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1106"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数控机床编程与操作</w:t>
            </w:r>
          </w:p>
        </w:tc>
        <w:tc>
          <w:tcPr>
            <w:tcW w:w="458"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4</w:t>
            </w:r>
          </w:p>
        </w:tc>
        <w:tc>
          <w:tcPr>
            <w:tcW w:w="1132"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能完成简单外形轮廓零件的机械加工工艺卡编制，并使用数控机床根据工艺卡完成零件加工</w:t>
            </w:r>
          </w:p>
        </w:tc>
        <w:tc>
          <w:tcPr>
            <w:tcW w:w="855"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数控机床装调</w:t>
            </w:r>
          </w:p>
        </w:tc>
        <w:tc>
          <w:tcPr>
            <w:tcW w:w="935"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柳州职业技术大学机械厂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1106"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电气控制系统设计与装调</w:t>
            </w:r>
          </w:p>
        </w:tc>
        <w:tc>
          <w:tcPr>
            <w:tcW w:w="458"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5</w:t>
            </w:r>
          </w:p>
        </w:tc>
        <w:tc>
          <w:tcPr>
            <w:tcW w:w="1132"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设计并组装完成由电磁阀、气动元件、PLC等设备组成的电气控制系统，并能根据设计要求完成功能调试与验证。</w:t>
            </w:r>
          </w:p>
        </w:tc>
        <w:tc>
          <w:tcPr>
            <w:tcW w:w="855"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电气控制与PLC应用技术</w:t>
            </w:r>
          </w:p>
        </w:tc>
        <w:tc>
          <w:tcPr>
            <w:tcW w:w="935" w:type="pct"/>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广西汽车集团有限公司</w:t>
            </w:r>
          </w:p>
        </w:tc>
      </w:tr>
    </w:tbl>
    <w:p>
      <w:pPr>
        <w:adjustRightInd w:val="0"/>
        <w:snapToGrid w:val="0"/>
        <w:spacing w:line="360" w:lineRule="auto"/>
        <w:ind w:firstLine="560" w:firstLineChars="200"/>
        <w:rPr>
          <w:rFonts w:hint="eastAsia" w:ascii="仿宋" w:hAnsi="仿宋" w:eastAsia="仿宋" w:cs="仿宋"/>
          <w:sz w:val="28"/>
          <w:szCs w:val="28"/>
          <w:lang w:val="en-US" w:eastAsia="zh-CN"/>
        </w:rPr>
      </w:pPr>
    </w:p>
    <w:p>
      <w:pPr>
        <w:bidi w:val="0"/>
        <w:rPr>
          <w:rFonts w:hint="default"/>
          <w:lang w:val="en-US" w:eastAsia="zh-CN"/>
        </w:rPr>
      </w:pPr>
      <w:r>
        <w:rPr>
          <w:rFonts w:hint="eastAsia"/>
          <w:lang w:val="en-US" w:eastAsia="zh-CN"/>
        </w:rPr>
        <w:t>b.课程设计</w:t>
      </w:r>
    </w:p>
    <w:tbl>
      <w:tblPr>
        <w:tblStyle w:val="16"/>
        <w:tblW w:w="502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830"/>
        <w:gridCol w:w="777"/>
        <w:gridCol w:w="1947"/>
        <w:gridCol w:w="1527"/>
        <w:gridCol w:w="16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2" w:hRule="atLeast"/>
        </w:trPr>
        <w:tc>
          <w:tcPr>
            <w:tcW w:w="510" w:type="pct"/>
            <w:vAlign w:val="center"/>
          </w:tcPr>
          <w:p>
            <w:pPr>
              <w:pStyle w:val="50"/>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序号</w:t>
            </w:r>
          </w:p>
        </w:tc>
        <w:tc>
          <w:tcPr>
            <w:tcW w:w="1069"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课程设计名称</w:t>
            </w:r>
          </w:p>
        </w:tc>
        <w:tc>
          <w:tcPr>
            <w:tcW w:w="454" w:type="pct"/>
            <w:shd w:val="clear" w:color="auto" w:fill="auto"/>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学期</w:t>
            </w:r>
          </w:p>
        </w:tc>
        <w:tc>
          <w:tcPr>
            <w:tcW w:w="1137"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产出/成果</w:t>
            </w:r>
          </w:p>
        </w:tc>
        <w:tc>
          <w:tcPr>
            <w:tcW w:w="892"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依托专业课程</w:t>
            </w:r>
          </w:p>
        </w:tc>
        <w:tc>
          <w:tcPr>
            <w:tcW w:w="936" w:type="pct"/>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106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机械零件测绘</w:t>
            </w:r>
          </w:p>
        </w:tc>
        <w:tc>
          <w:tcPr>
            <w:tcW w:w="454" w:type="pct"/>
            <w:shd w:val="clear" w:color="auto" w:fill="auto"/>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113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根据</w:t>
            </w:r>
            <w:r>
              <w:rPr>
                <w:rFonts w:hint="eastAsia" w:ascii="仿宋_GB2312" w:hAnsi="仿宋_GB2312" w:eastAsia="仿宋_GB2312" w:cs="仿宋_GB2312"/>
                <w:lang w:val="en-US" w:eastAsia="zh-CN"/>
              </w:rPr>
              <w:t>减速器</w:t>
            </w:r>
            <w:r>
              <w:rPr>
                <w:rFonts w:hint="eastAsia" w:ascii="仿宋_GB2312" w:hAnsi="仿宋_GB2312" w:eastAsia="仿宋_GB2312" w:cs="仿宋_GB2312"/>
                <w:color w:val="000000"/>
              </w:rPr>
              <w:t>零件草图和</w:t>
            </w:r>
            <w:r>
              <w:rPr>
                <w:rFonts w:hint="eastAsia" w:ascii="仿宋_GB2312" w:hAnsi="仿宋_GB2312" w:eastAsia="仿宋_GB2312" w:cs="仿宋_GB2312"/>
              </w:rPr>
              <w:t>装配图示意图整理出一套零件图</w:t>
            </w:r>
          </w:p>
        </w:tc>
        <w:tc>
          <w:tcPr>
            <w:tcW w:w="892"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机械制图</w:t>
            </w:r>
            <w:r>
              <w:rPr>
                <w:rFonts w:hint="eastAsia" w:ascii="仿宋_GB2312" w:hAnsi="仿宋_GB2312" w:eastAsia="仿宋_GB2312" w:cs="仿宋_GB2312"/>
                <w:lang w:eastAsia="zh-CN"/>
              </w:rPr>
              <w:t>、机械设计基础</w:t>
            </w:r>
          </w:p>
        </w:tc>
        <w:tc>
          <w:tcPr>
            <w:tcW w:w="936"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柳州五菱汽车科技有限公司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106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PLC项目设计</w:t>
            </w:r>
          </w:p>
        </w:tc>
        <w:tc>
          <w:tcPr>
            <w:tcW w:w="454" w:type="pct"/>
            <w:shd w:val="clear" w:color="auto" w:fill="auto"/>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113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完成多层立体车库控制系统设计控制线路进行PLC设计程序设计与调试</w:t>
            </w:r>
          </w:p>
        </w:tc>
        <w:tc>
          <w:tcPr>
            <w:tcW w:w="892"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电工与电子技术、可编程控制器应用技术</w:t>
            </w:r>
          </w:p>
        </w:tc>
        <w:tc>
          <w:tcPr>
            <w:tcW w:w="936"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广西汽车集团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106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机械零部件数控加工</w:t>
            </w:r>
          </w:p>
        </w:tc>
        <w:tc>
          <w:tcPr>
            <w:tcW w:w="454" w:type="pct"/>
            <w:shd w:val="clear" w:color="auto" w:fill="auto"/>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113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根据典型机械零件加工工艺卡，利用数控机床完成零部件加工</w:t>
            </w:r>
          </w:p>
        </w:tc>
        <w:tc>
          <w:tcPr>
            <w:tcW w:w="892"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数控机床与应用</w:t>
            </w:r>
          </w:p>
        </w:tc>
        <w:tc>
          <w:tcPr>
            <w:tcW w:w="936"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柳州职业技术大学机械厂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0" w:hRule="atLeast"/>
        </w:trPr>
        <w:tc>
          <w:tcPr>
            <w:tcW w:w="510" w:type="pct"/>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106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机器人分拣工作站集成调试</w:t>
            </w:r>
          </w:p>
        </w:tc>
        <w:tc>
          <w:tcPr>
            <w:tcW w:w="454" w:type="pct"/>
            <w:shd w:val="clear" w:color="auto" w:fill="auto"/>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113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以汽车轮毂零件分拣为项目背景，开展工业机器人工作站与外围设备集成、编写与调试机器人程序及PLC程序，最终完成汽车轮毂零件分拣的机器人工作站系统编程与验证。</w:t>
            </w:r>
          </w:p>
        </w:tc>
        <w:tc>
          <w:tcPr>
            <w:tcW w:w="892"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工业机器人应用技术、工业机器人集成与调试</w:t>
            </w:r>
          </w:p>
        </w:tc>
        <w:tc>
          <w:tcPr>
            <w:tcW w:w="936"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上汽通用五菱</w:t>
            </w:r>
          </w:p>
        </w:tc>
      </w:tr>
    </w:tbl>
    <w:p>
      <w:pPr>
        <w:bidi w:val="0"/>
        <w:rPr>
          <w:rFonts w:hint="eastAsia"/>
          <w:lang w:val="en-US" w:eastAsia="zh-CN"/>
        </w:rPr>
      </w:pPr>
      <w:r>
        <w:rPr>
          <w:rFonts w:hint="eastAsia"/>
          <w:lang w:val="en-US" w:eastAsia="zh-CN"/>
        </w:rPr>
        <w:t>c.实习安排</w:t>
      </w:r>
    </w:p>
    <w:tbl>
      <w:tblPr>
        <w:tblStyle w:val="16"/>
        <w:tblW w:w="84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1"/>
        <w:gridCol w:w="2356"/>
        <w:gridCol w:w="1444"/>
        <w:gridCol w:w="1122"/>
        <w:gridCol w:w="1356"/>
        <w:gridCol w:w="1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5" w:hRule="atLeast"/>
        </w:trPr>
        <w:tc>
          <w:tcPr>
            <w:tcW w:w="881" w:type="dxa"/>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时间</w:t>
            </w:r>
          </w:p>
        </w:tc>
        <w:tc>
          <w:tcPr>
            <w:tcW w:w="2356" w:type="dxa"/>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实习目标</w:t>
            </w:r>
          </w:p>
        </w:tc>
        <w:tc>
          <w:tcPr>
            <w:tcW w:w="1444" w:type="dxa"/>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实习项目</w:t>
            </w:r>
          </w:p>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（内容/任务）</w:t>
            </w:r>
          </w:p>
        </w:tc>
        <w:tc>
          <w:tcPr>
            <w:tcW w:w="1122" w:type="dxa"/>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实习形</w:t>
            </w:r>
          </w:p>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式</w:t>
            </w:r>
          </w:p>
        </w:tc>
        <w:tc>
          <w:tcPr>
            <w:tcW w:w="1356" w:type="dxa"/>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考核要求</w:t>
            </w:r>
          </w:p>
        </w:tc>
        <w:tc>
          <w:tcPr>
            <w:tcW w:w="1300" w:type="dxa"/>
            <w:vAlign w:val="center"/>
          </w:tcPr>
          <w:p>
            <w:pPr>
              <w:pStyle w:val="50"/>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合作企业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881"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第8学期</w:t>
            </w:r>
          </w:p>
        </w:tc>
        <w:tc>
          <w:tcPr>
            <w:tcW w:w="2356" w:type="dxa"/>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经历了基本素质教育、专业课程学习后，学生到企业参加顶岗实习，通过实践教师的指导和学生自身的工作体验，感受企业文化，养成良好的职业素养，形成良好的职业行为规范、职业道德和就业意识，增强学生的职业能力和社会适应能力，提高学生的职业素养。</w:t>
            </w:r>
          </w:p>
        </w:tc>
        <w:tc>
          <w:tcPr>
            <w:tcW w:w="1444"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工业安全，学习企业制度、生产工程和工业工程基本操作技能，训练素质拓展</w:t>
            </w:r>
          </w:p>
        </w:tc>
        <w:tc>
          <w:tcPr>
            <w:tcW w:w="112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集中安排顶岗工作方式或者到企业参观</w:t>
            </w:r>
          </w:p>
        </w:tc>
        <w:tc>
          <w:tcPr>
            <w:tcW w:w="135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实习总结+职业素质活动展示+企业鉴定</w:t>
            </w:r>
          </w:p>
        </w:tc>
        <w:tc>
          <w:tcPr>
            <w:tcW w:w="13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广西汽车集团、上汽通用五菱、东风柳州汽车有限公司、柳州国轩电池有限公司</w:t>
            </w:r>
          </w:p>
        </w:tc>
      </w:tr>
    </w:tbl>
    <w:p>
      <w:pPr>
        <w:bidi w:val="0"/>
        <w:rPr>
          <w:rFonts w:hint="eastAsia"/>
        </w:rPr>
      </w:pPr>
      <w:r>
        <w:rPr>
          <w:rFonts w:hint="eastAsia"/>
          <w:lang w:val="en-US" w:eastAsia="zh-CN"/>
        </w:rPr>
        <w:t>3.</w:t>
      </w:r>
      <w:r>
        <w:rPr>
          <w:rFonts w:hint="eastAsia"/>
        </w:rPr>
        <w:t>学生竞赛及第二课堂活动</w:t>
      </w:r>
    </w:p>
    <w:p>
      <w:pPr>
        <w:bidi w:val="0"/>
        <w:rPr>
          <w:rFonts w:hint="eastAsia"/>
        </w:rPr>
      </w:pPr>
      <w:r>
        <w:rPr>
          <w:rFonts w:hint="eastAsia"/>
        </w:rPr>
        <w:t>每个专业根据学科专业的特点，在不同的年级设计安排不同的学生竞赛及第二课堂活动。具体安排见第二课堂活动安排表。</w:t>
      </w:r>
    </w:p>
    <w:p>
      <w:pPr>
        <w:pStyle w:val="3"/>
        <w:bidi w:val="0"/>
        <w:rPr>
          <w:rFonts w:hint="eastAsia"/>
          <w:lang w:val="en-US" w:eastAsia="zh-CN"/>
        </w:rPr>
      </w:pPr>
      <w:bookmarkStart w:id="11" w:name="_Toc27181"/>
      <w:r>
        <w:rPr>
          <w:rFonts w:hint="eastAsia"/>
          <w:lang w:val="en-US" w:eastAsia="zh-CN"/>
        </w:rPr>
        <w:t>七、教学进度总体安排</w:t>
      </w:r>
      <w:bookmarkEnd w:id="11"/>
    </w:p>
    <w:p>
      <w:pPr>
        <w:pStyle w:val="2"/>
        <w:bidi w:val="0"/>
        <w:rPr>
          <w:rFonts w:hint="eastAsia"/>
          <w:lang w:val="en-US" w:eastAsia="zh-CN"/>
        </w:rPr>
      </w:pPr>
      <w:bookmarkStart w:id="12" w:name="_Toc17573"/>
      <w:r>
        <w:rPr>
          <w:rFonts w:hint="eastAsia"/>
          <w:lang w:val="en-US" w:eastAsia="zh-CN"/>
        </w:rPr>
        <w:t>（一）教学活动时间分配</w:t>
      </w:r>
      <w:bookmarkEnd w:id="12"/>
    </w:p>
    <w:p>
      <w:pPr>
        <w:rPr>
          <w:rFonts w:hint="eastAsia"/>
          <w:lang w:val="en-US" w:eastAsia="zh-CN"/>
        </w:rPr>
      </w:pPr>
    </w:p>
    <w:tbl>
      <w:tblPr>
        <w:tblStyle w:val="1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2708"/>
        <w:gridCol w:w="601"/>
        <w:gridCol w:w="606"/>
        <w:gridCol w:w="603"/>
        <w:gridCol w:w="604"/>
        <w:gridCol w:w="603"/>
        <w:gridCol w:w="604"/>
        <w:gridCol w:w="603"/>
        <w:gridCol w:w="604"/>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3" w:hRule="exact"/>
          <w:jc w:val="center"/>
        </w:trPr>
        <w:tc>
          <w:tcPr>
            <w:tcW w:w="1609" w:type="pct"/>
            <w:vMerge w:val="restart"/>
            <w:vAlign w:val="center"/>
          </w:tcPr>
          <w:p>
            <w:pPr>
              <w:pStyle w:val="48"/>
              <w:bidi w:val="0"/>
              <w:ind w:firstLine="1920" w:firstLineChars="800"/>
              <w:rPr>
                <w:rFonts w:hint="eastAsia" w:ascii="仿宋_GB2312" w:hAnsi="仿宋_GB2312" w:eastAsia="仿宋_GB2312" w:cs="仿宋_GB2312"/>
              </w:rPr>
            </w:pPr>
            <w:r>
              <w:rPr>
                <w:rFonts w:hint="eastAsia" w:ascii="仿宋_GB2312" w:hAnsi="仿宋_GB2312" w:eastAsia="仿宋_GB2312" w:cs="仿宋_GB2312"/>
              </w:rPr>
              <mc:AlternateContent>
                <mc:Choice Requires="wps">
                  <w:drawing>
                    <wp:anchor distT="0" distB="0" distL="114300" distR="114300" simplePos="0" relativeHeight="251663360" behindDoc="0" locked="0" layoutInCell="1" allowOverlap="1">
                      <wp:simplePos x="0" y="0"/>
                      <wp:positionH relativeFrom="column">
                        <wp:posOffset>-40640</wp:posOffset>
                      </wp:positionH>
                      <wp:positionV relativeFrom="paragraph">
                        <wp:posOffset>-3810</wp:posOffset>
                      </wp:positionV>
                      <wp:extent cx="1727835" cy="613410"/>
                      <wp:effectExtent l="1905" t="4445" r="10160" b="4445"/>
                      <wp:wrapNone/>
                      <wp:docPr id="3" name="直接连接符 3"/>
                      <wp:cNvGraphicFramePr/>
                      <a:graphic xmlns:a="http://schemas.openxmlformats.org/drawingml/2006/main">
                        <a:graphicData uri="http://schemas.microsoft.com/office/word/2010/wordprocessingShape">
                          <wps:wsp>
                            <wps:cNvCnPr/>
                            <wps:spPr>
                              <a:xfrm>
                                <a:off x="0" y="0"/>
                                <a:ext cx="1727835" cy="613410"/>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3.2pt;margin-top:-0.3pt;height:48.3pt;width:136.05pt;z-index:251663360;mso-width-relative:page;mso-height-relative:page;" filled="f" stroked="t" coordsize="21600,21600" o:gfxdata="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MHsTVnTAAAA&#10;BwEAAA8AAAAAAAAAAQAgAAAAIgAAAGRycy9kb3ducmV2LnhtbFBLAQIUABQAAAAIAIdO4kDiSdeR&#10;6QEAALUDAAAOAAAAAAAAAAEAIAAAACIBAABkcnMvZTJvRG9jLnhtbFBLBQYAAAAABgAGAFkBAAB9&#10;BQAAAAA=&#10;">
                      <v:fill on="f" focussize="0,0"/>
                      <v:stroke weight="0.25pt" color="#000000" miterlimit="8" joinstyle="miter"/>
                      <v:imagedata o:title=""/>
                      <o:lock v:ext="edit" aspectratio="f"/>
                    </v:line>
                  </w:pict>
                </mc:Fallback>
              </mc:AlternateContent>
            </w:r>
            <w:r>
              <w:rPr>
                <w:rFonts w:hint="eastAsia" w:ascii="仿宋_GB2312" w:hAnsi="仿宋_GB2312" w:eastAsia="仿宋_GB2312" w:cs="仿宋_GB2312"/>
              </w:rPr>
              <mc:AlternateContent>
                <mc:Choice Requires="wps">
                  <w:drawing>
                    <wp:anchor distT="0" distB="0" distL="114300" distR="114300" simplePos="0" relativeHeight="251662336" behindDoc="0" locked="0" layoutInCell="1" allowOverlap="1">
                      <wp:simplePos x="0" y="0"/>
                      <wp:positionH relativeFrom="column">
                        <wp:posOffset>-34925</wp:posOffset>
                      </wp:positionH>
                      <wp:positionV relativeFrom="paragraph">
                        <wp:posOffset>-2540</wp:posOffset>
                      </wp:positionV>
                      <wp:extent cx="1727835" cy="327025"/>
                      <wp:effectExtent l="635" t="4445" r="11430" b="11430"/>
                      <wp:wrapNone/>
                      <wp:docPr id="6" name="直接连接符 6"/>
                      <wp:cNvGraphicFramePr/>
                      <a:graphic xmlns:a="http://schemas.openxmlformats.org/drawingml/2006/main">
                        <a:graphicData uri="http://schemas.microsoft.com/office/word/2010/wordprocessingShape">
                          <wps:wsp>
                            <wps:cNvCnPr/>
                            <wps:spPr>
                              <a:xfrm>
                                <a:off x="1101090" y="2111375"/>
                                <a:ext cx="1727835" cy="327025"/>
                              </a:xfrm>
                              <a:prstGeom prst="line">
                                <a:avLst/>
                              </a:prstGeom>
                              <a:ln w="3175"/>
                            </wps:spPr>
                            <wps:style>
                              <a:lnRef idx="2">
                                <a:prstClr val="black"/>
                              </a:lnRef>
                              <a:fillRef idx="0">
                                <a:prstClr val="black"/>
                              </a:fillRef>
                              <a:effectRef idx="1">
                                <a:prstClr val="black"/>
                              </a:effectRef>
                              <a:fontRef idx="minor">
                                <a:schemeClr val="tx1"/>
                              </a:fontRef>
                            </wps:style>
                            <wps:bodyPr/>
                          </wps:wsp>
                        </a:graphicData>
                      </a:graphic>
                    </wp:anchor>
                  </w:drawing>
                </mc:Choice>
                <mc:Fallback>
                  <w:pict>
                    <v:line id="_x0000_s1026" o:spid="_x0000_s1026" o:spt="20" style="position:absolute;left:0pt;margin-left:-2.75pt;margin-top:-0.2pt;height:25.75pt;width:136.05pt;z-index:251662336;mso-width-relative:page;mso-height-relative:page;" filled="f" stroked="t" coordsize="21600,21600" o:gfxdata="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fKSfzUAAAABwEAAA8AAAAAAAAAAQAgAAAAIgAAAGRycy9kb3ducmV2LnhtbFBLAQIUABQA&#10;AAAIAIdO4kDo8ops9AEAAMEDAAAOAAAAAAAAAAEAIAAAACMBAABkcnMvZTJvRG9jLnhtbFBLBQYA&#10;AAAABgAGAFkBAACJBQAAAAA=&#10;">
                      <v:fill on="f" focussize="0,0"/>
                      <v:stroke weight="0.25pt" color="#000000" miterlimit="8" joinstyle="miter"/>
                      <v:imagedata o:title=""/>
                      <o:lock v:ext="edit" aspectratio="f"/>
                    </v:line>
                  </w:pict>
                </mc:Fallback>
              </mc:AlternateContent>
            </w:r>
            <w:r>
              <w:rPr>
                <w:rFonts w:hint="eastAsia" w:ascii="仿宋_GB2312" w:hAnsi="仿宋_GB2312" w:eastAsia="仿宋_GB2312" w:cs="仿宋_GB2312"/>
              </w:rPr>
              <w:t>学年</w:t>
            </w:r>
          </w:p>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  </w:t>
            </w:r>
            <w:r>
              <w:rPr>
                <w:rFonts w:hint="eastAsia" w:ascii="仿宋_GB2312" w:hAnsi="仿宋_GB2312" w:eastAsia="仿宋_GB2312" w:cs="仿宋_GB2312"/>
                <w:lang w:val="en-US" w:eastAsia="zh-CN"/>
              </w:rPr>
              <w:t xml:space="preserve">         </w:t>
            </w:r>
            <w:r>
              <w:rPr>
                <w:rFonts w:hint="eastAsia" w:ascii="仿宋_GB2312" w:hAnsi="仿宋_GB2312" w:eastAsia="仿宋_GB2312" w:cs="仿宋_GB2312"/>
              </w:rPr>
              <w:t xml:space="preserve">   周</w:t>
            </w:r>
          </w:p>
          <w:p>
            <w:pPr>
              <w:pStyle w:val="48"/>
              <w:bidi w:val="0"/>
              <w:rPr>
                <w:rFonts w:hint="eastAsia" w:ascii="仿宋_GB2312" w:hAnsi="仿宋_GB2312" w:eastAsia="仿宋_GB2312" w:cs="仿宋_GB2312"/>
              </w:rPr>
            </w:pPr>
            <w:r>
              <w:rPr>
                <w:rFonts w:hint="eastAsia" w:ascii="仿宋_GB2312" w:hAnsi="仿宋_GB2312" w:eastAsia="仿宋_GB2312" w:cs="仿宋_GB2312"/>
              </w:rPr>
              <w:t>项目</w:t>
            </w:r>
          </w:p>
        </w:tc>
        <w:tc>
          <w:tcPr>
            <w:tcW w:w="717" w:type="pct"/>
            <w:gridSpan w:val="2"/>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一</w:t>
            </w:r>
          </w:p>
        </w:tc>
        <w:tc>
          <w:tcPr>
            <w:tcW w:w="717" w:type="pct"/>
            <w:gridSpan w:val="2"/>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二</w:t>
            </w:r>
          </w:p>
        </w:tc>
        <w:tc>
          <w:tcPr>
            <w:tcW w:w="717" w:type="pct"/>
            <w:gridSpan w:val="2"/>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三</w:t>
            </w:r>
          </w:p>
        </w:tc>
        <w:tc>
          <w:tcPr>
            <w:tcW w:w="717" w:type="pct"/>
            <w:gridSpan w:val="2"/>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四</w:t>
            </w:r>
          </w:p>
        </w:tc>
        <w:tc>
          <w:tcPr>
            <w:tcW w:w="520" w:type="pct"/>
            <w:vMerge w:val="restar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总计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Merge w:val="continue"/>
            <w:vAlign w:val="center"/>
          </w:tcPr>
          <w:p>
            <w:pPr>
              <w:pStyle w:val="48"/>
              <w:bidi w:val="0"/>
              <w:rPr>
                <w:rFonts w:hint="eastAsia" w:ascii="仿宋_GB2312" w:hAnsi="仿宋_GB2312" w:eastAsia="仿宋_GB2312" w:cs="仿宋_GB2312"/>
              </w:rPr>
            </w:pPr>
          </w:p>
        </w:tc>
        <w:tc>
          <w:tcPr>
            <w:tcW w:w="357"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3</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4</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5</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6</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7</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8</w:t>
            </w:r>
          </w:p>
        </w:tc>
        <w:tc>
          <w:tcPr>
            <w:tcW w:w="520" w:type="pct"/>
            <w:vMerge w:val="continue"/>
            <w:vAlign w:val="center"/>
          </w:tcPr>
          <w:p>
            <w:pPr>
              <w:pStyle w:val="48"/>
              <w:bidi w:val="0"/>
              <w:rPr>
                <w:rFonts w:hint="eastAsia" w:ascii="仿宋_GB2312" w:hAnsi="仿宋_GB2312" w:eastAsia="仿宋_GB2312" w:cs="仿宋_GB231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72"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1.学期教育总周数小计</w:t>
            </w:r>
          </w:p>
        </w:tc>
        <w:tc>
          <w:tcPr>
            <w:tcW w:w="357"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20</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0</w:t>
            </w:r>
          </w:p>
        </w:tc>
        <w:tc>
          <w:tcPr>
            <w:tcW w:w="52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其中：课堂教学</w:t>
            </w:r>
          </w:p>
        </w:tc>
        <w:tc>
          <w:tcPr>
            <w:tcW w:w="35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17.5</w:t>
            </w:r>
          </w:p>
        </w:tc>
        <w:tc>
          <w:tcPr>
            <w:tcW w:w="36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15</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18.5</w:t>
            </w:r>
          </w:p>
        </w:tc>
        <w:tc>
          <w:tcPr>
            <w:tcW w:w="35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16.5</w:t>
            </w:r>
          </w:p>
        </w:tc>
        <w:tc>
          <w:tcPr>
            <w:tcW w:w="35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15</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10.5</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52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集中实验、实训教学</w:t>
            </w:r>
          </w:p>
        </w:tc>
        <w:tc>
          <w:tcPr>
            <w:tcW w:w="35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0</w:t>
            </w:r>
          </w:p>
        </w:tc>
        <w:tc>
          <w:tcPr>
            <w:tcW w:w="36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35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w:t>
            </w:r>
          </w:p>
        </w:tc>
        <w:tc>
          <w:tcPr>
            <w:tcW w:w="35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0</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0</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52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50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军事技能训练</w:t>
            </w:r>
          </w:p>
        </w:tc>
        <w:tc>
          <w:tcPr>
            <w:tcW w:w="357"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52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6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毕业设计（论文）</w:t>
            </w:r>
          </w:p>
        </w:tc>
        <w:tc>
          <w:tcPr>
            <w:tcW w:w="35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w:t>
            </w:r>
          </w:p>
        </w:tc>
        <w:tc>
          <w:tcPr>
            <w:tcW w:w="36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8</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52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企业课程周</w:t>
            </w:r>
          </w:p>
        </w:tc>
        <w:tc>
          <w:tcPr>
            <w:tcW w:w="35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0</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0</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0</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52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校运会</w:t>
            </w:r>
          </w:p>
        </w:tc>
        <w:tc>
          <w:tcPr>
            <w:tcW w:w="357"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0.5</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0.5</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0.5</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0.5</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52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2.毕业实习</w:t>
            </w:r>
          </w:p>
        </w:tc>
        <w:tc>
          <w:tcPr>
            <w:tcW w:w="357"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w:t>
            </w:r>
          </w:p>
        </w:tc>
        <w:tc>
          <w:tcPr>
            <w:tcW w:w="360" w:type="pc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24</w:t>
            </w:r>
          </w:p>
        </w:tc>
        <w:tc>
          <w:tcPr>
            <w:tcW w:w="52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3.寒暑假</w:t>
            </w:r>
          </w:p>
        </w:tc>
        <w:tc>
          <w:tcPr>
            <w:tcW w:w="357"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4</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6</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4</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6</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4</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6</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4</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2</w:t>
            </w:r>
          </w:p>
        </w:tc>
        <w:tc>
          <w:tcPr>
            <w:tcW w:w="52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454" w:hRule="exact"/>
          <w:jc w:val="center"/>
        </w:trPr>
        <w:tc>
          <w:tcPr>
            <w:tcW w:w="160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4.机动</w:t>
            </w:r>
          </w:p>
        </w:tc>
        <w:tc>
          <w:tcPr>
            <w:tcW w:w="357"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6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8"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359"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w:t>
            </w:r>
          </w:p>
        </w:tc>
        <w:tc>
          <w:tcPr>
            <w:tcW w:w="520" w:type="pc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8</w:t>
            </w:r>
          </w:p>
        </w:tc>
      </w:tr>
    </w:tbl>
    <w:p>
      <w:pPr>
        <w:pStyle w:val="2"/>
        <w:bidi w:val="0"/>
        <w:rPr>
          <w:rFonts w:hint="default"/>
          <w:lang w:val="en-US" w:eastAsia="zh-CN"/>
        </w:rPr>
      </w:pPr>
      <w:bookmarkStart w:id="13" w:name="_Toc31832"/>
      <w:r>
        <w:rPr>
          <w:rFonts w:hint="eastAsia"/>
          <w:lang w:val="en-US" w:eastAsia="zh-CN"/>
        </w:rPr>
        <w:t>（二）课程学分学时比例构成</w:t>
      </w:r>
      <w:bookmarkEnd w:id="13"/>
    </w:p>
    <w:p>
      <w:pPr>
        <w:pStyle w:val="50"/>
        <w:bidi w:val="0"/>
        <w:rPr>
          <w:rFonts w:hint="eastAsia"/>
          <w:lang w:val="en-US" w:eastAsia="zh-CN"/>
        </w:rPr>
      </w:pPr>
      <w:r>
        <w:rPr>
          <w:rFonts w:hint="eastAsia"/>
          <w:lang w:val="en-US" w:eastAsia="zh-CN"/>
        </w:rPr>
        <w:t>表7-1：课程学时学分比例构成表</w:t>
      </w:r>
    </w:p>
    <w:tbl>
      <w:tblPr>
        <w:tblStyle w:val="15"/>
        <w:tblW w:w="86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1"/>
        <w:gridCol w:w="600"/>
        <w:gridCol w:w="585"/>
        <w:gridCol w:w="858"/>
        <w:gridCol w:w="897"/>
        <w:gridCol w:w="223"/>
        <w:gridCol w:w="1046"/>
        <w:gridCol w:w="544"/>
        <w:gridCol w:w="647"/>
        <w:gridCol w:w="862"/>
        <w:gridCol w:w="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纵向结构</w:t>
            </w:r>
          </w:p>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（课程类别）</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学分</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学时</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学分比例</w:t>
            </w:r>
          </w:p>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学时比例</w:t>
            </w:r>
          </w:p>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223" w:type="dxa"/>
            <w:vMerge w:val="restart"/>
            <w:shd w:val="clear" w:color="auto" w:fill="auto"/>
            <w:vAlign w:val="center"/>
          </w:tcPr>
          <w:p>
            <w:pPr>
              <w:pStyle w:val="48"/>
              <w:bidi w:val="0"/>
              <w:jc w:val="center"/>
              <w:rPr>
                <w:rFonts w:hint="eastAsia" w:ascii="仿宋_GB2312" w:hAnsi="仿宋_GB2312" w:eastAsia="仿宋_GB2312" w:cs="仿宋_GB2312"/>
                <w:sz w:val="20"/>
                <w:szCs w:val="20"/>
              </w:rPr>
            </w:pPr>
          </w:p>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横向结构</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学分</w:t>
            </w: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学时</w:t>
            </w: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学分比例</w:t>
            </w:r>
          </w:p>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w:t>
            </w:r>
          </w:p>
        </w:tc>
        <w:tc>
          <w:tcPr>
            <w:tcW w:w="891" w:type="dxa"/>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学时比例</w:t>
            </w:r>
          </w:p>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通识必修课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52</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980</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30.59</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29.81</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必修课</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145</w:t>
            </w: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2888</w:t>
            </w:r>
          </w:p>
        </w:tc>
        <w:tc>
          <w:tcPr>
            <w:tcW w:w="862" w:type="dxa"/>
            <w:shd w:val="clear" w:color="auto" w:fill="auto"/>
            <w:vAlign w:val="center"/>
          </w:tcPr>
          <w:p>
            <w:pPr>
              <w:pStyle w:val="48"/>
              <w:bidi w:val="0"/>
              <w:ind w:firstLine="0" w:firstLineChars="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85.29</w:t>
            </w:r>
          </w:p>
        </w:tc>
        <w:tc>
          <w:tcPr>
            <w:tcW w:w="891" w:type="dxa"/>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87.83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通识选修课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6</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96</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3.53</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2.92</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选修课</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25</w:t>
            </w: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400</w:t>
            </w:r>
          </w:p>
        </w:tc>
        <w:tc>
          <w:tcPr>
            <w:tcW w:w="862" w:type="dxa"/>
            <w:shd w:val="clear" w:color="auto" w:fill="auto"/>
            <w:vAlign w:val="center"/>
          </w:tcPr>
          <w:p>
            <w:pPr>
              <w:pStyle w:val="48"/>
              <w:bidi w:val="0"/>
              <w:ind w:firstLine="0" w:firstLineChars="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14.71</w:t>
            </w:r>
          </w:p>
        </w:tc>
        <w:tc>
          <w:tcPr>
            <w:tcW w:w="891" w:type="dxa"/>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12.17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专业通识必修课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14</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224</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8.24</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6.81</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合计</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170</w:t>
            </w: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3288</w:t>
            </w: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100.00</w:t>
            </w:r>
          </w:p>
        </w:tc>
        <w:tc>
          <w:tcPr>
            <w:tcW w:w="891" w:type="dxa"/>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专业基础课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23</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368</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12.35</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10.22</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理论学时</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w:t>
            </w: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1282</w:t>
            </w: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w:t>
            </w:r>
          </w:p>
        </w:tc>
        <w:tc>
          <w:tcPr>
            <w:tcW w:w="891" w:type="dxa"/>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38.99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专业核心课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18</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288</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10.59</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8.76</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实践学时</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w:t>
            </w: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2006</w:t>
            </w: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w:t>
            </w:r>
          </w:p>
        </w:tc>
        <w:tc>
          <w:tcPr>
            <w:tcW w:w="891" w:type="dxa"/>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61.01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专业拓展课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6</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96</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4.71</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3.89</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rPr>
              <w:t>合计</w:t>
            </w: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3288</w:t>
            </w: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891" w:type="dxa"/>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专业</w:t>
            </w:r>
            <w:r>
              <w:rPr>
                <w:rFonts w:hint="eastAsia" w:ascii="仿宋_GB2312" w:hAnsi="仿宋_GB2312" w:eastAsia="仿宋_GB2312" w:cs="仿宋_GB2312"/>
                <w:sz w:val="20"/>
                <w:szCs w:val="20"/>
                <w:lang w:val="en-US" w:eastAsia="zh-CN"/>
              </w:rPr>
              <w:t>选修</w:t>
            </w:r>
            <w:r>
              <w:rPr>
                <w:rFonts w:hint="eastAsia" w:ascii="仿宋_GB2312" w:hAnsi="仿宋_GB2312" w:eastAsia="仿宋_GB2312" w:cs="仿宋_GB2312"/>
                <w:sz w:val="20"/>
                <w:szCs w:val="20"/>
              </w:rPr>
              <w:t>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19</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304</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11.18</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9.25</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p>
        </w:tc>
        <w:tc>
          <w:tcPr>
            <w:tcW w:w="891" w:type="dxa"/>
          </w:tcPr>
          <w:p>
            <w:pPr>
              <w:pStyle w:val="48"/>
              <w:bidi w:val="0"/>
              <w:jc w:val="center"/>
              <w:rPr>
                <w:rFonts w:hint="eastAsia" w:ascii="仿宋_GB2312" w:hAnsi="仿宋_GB2312" w:eastAsia="仿宋_GB2312" w:cs="仿宋_GB2312"/>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综合实践课</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32</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932</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18.82</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28.35</w:t>
            </w:r>
          </w:p>
        </w:tc>
        <w:tc>
          <w:tcPr>
            <w:tcW w:w="223" w:type="dxa"/>
            <w:vMerge w:val="continue"/>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891" w:type="dxa"/>
          </w:tcPr>
          <w:p>
            <w:pPr>
              <w:pStyle w:val="48"/>
              <w:bidi w:val="0"/>
              <w:jc w:val="center"/>
              <w:rPr>
                <w:rFonts w:hint="eastAsia" w:ascii="仿宋_GB2312" w:hAnsi="仿宋_GB2312" w:eastAsia="仿宋_GB2312" w:cs="仿宋_GB2312"/>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jc w:val="center"/>
        </w:trPr>
        <w:tc>
          <w:tcPr>
            <w:tcW w:w="1541" w:type="dxa"/>
            <w:shd w:val="clear" w:color="auto" w:fill="auto"/>
            <w:vAlign w:val="center"/>
          </w:tcPr>
          <w:p>
            <w:pPr>
              <w:pStyle w:val="48"/>
              <w:bidi w:val="0"/>
              <w:jc w:val="center"/>
              <w:rPr>
                <w:rFonts w:hint="eastAsia" w:ascii="仿宋_GB2312" w:hAnsi="仿宋_GB2312" w:eastAsia="仿宋_GB2312" w:cs="仿宋_GB2312"/>
                <w:sz w:val="20"/>
                <w:szCs w:val="20"/>
                <w:lang w:val="en-US" w:eastAsia="zh-CN"/>
              </w:rPr>
            </w:pPr>
            <w:r>
              <w:rPr>
                <w:rFonts w:hint="eastAsia" w:ascii="仿宋_GB2312" w:hAnsi="仿宋_GB2312" w:eastAsia="仿宋_GB2312" w:cs="仿宋_GB2312"/>
                <w:sz w:val="20"/>
                <w:szCs w:val="20"/>
              </w:rPr>
              <w:t>合计</w:t>
            </w:r>
          </w:p>
        </w:tc>
        <w:tc>
          <w:tcPr>
            <w:tcW w:w="600"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170</w:t>
            </w:r>
          </w:p>
        </w:tc>
        <w:tc>
          <w:tcPr>
            <w:tcW w:w="585"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3288</w:t>
            </w:r>
          </w:p>
        </w:tc>
        <w:tc>
          <w:tcPr>
            <w:tcW w:w="858"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100.00</w:t>
            </w:r>
          </w:p>
        </w:tc>
        <w:tc>
          <w:tcPr>
            <w:tcW w:w="897" w:type="dxa"/>
            <w:shd w:val="clear" w:color="auto" w:fill="auto"/>
            <w:vAlign w:val="center"/>
          </w:tcPr>
          <w:p>
            <w:pPr>
              <w:pStyle w:val="48"/>
              <w:bidi w:val="0"/>
              <w:jc w:val="center"/>
              <w:rPr>
                <w:rFonts w:hint="eastAsia" w:ascii="仿宋_GB2312" w:hAnsi="仿宋_GB2312" w:eastAsia="仿宋_GB2312" w:cs="仿宋_GB2312"/>
                <w:sz w:val="20"/>
                <w:szCs w:val="20"/>
              </w:rPr>
            </w:pPr>
            <w:r>
              <w:rPr>
                <w:rFonts w:hint="eastAsia" w:ascii="仿宋_GB2312" w:hAnsi="仿宋_GB2312" w:eastAsia="仿宋_GB2312" w:cs="仿宋_GB2312"/>
                <w:sz w:val="20"/>
                <w:szCs w:val="20"/>
                <w:lang w:val="en-US" w:eastAsia="zh-CN"/>
              </w:rPr>
              <w:t>100.00</w:t>
            </w:r>
          </w:p>
        </w:tc>
        <w:tc>
          <w:tcPr>
            <w:tcW w:w="223" w:type="dxa"/>
            <w:vAlign w:val="center"/>
          </w:tcPr>
          <w:p>
            <w:pPr>
              <w:pStyle w:val="48"/>
              <w:bidi w:val="0"/>
              <w:jc w:val="center"/>
              <w:rPr>
                <w:rFonts w:hint="eastAsia" w:ascii="仿宋_GB2312" w:hAnsi="仿宋_GB2312" w:eastAsia="仿宋_GB2312" w:cs="仿宋_GB2312"/>
                <w:sz w:val="20"/>
                <w:szCs w:val="20"/>
              </w:rPr>
            </w:pPr>
          </w:p>
        </w:tc>
        <w:tc>
          <w:tcPr>
            <w:tcW w:w="1046"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544"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647"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862" w:type="dxa"/>
            <w:shd w:val="clear" w:color="auto" w:fill="auto"/>
            <w:vAlign w:val="center"/>
          </w:tcPr>
          <w:p>
            <w:pPr>
              <w:pStyle w:val="48"/>
              <w:bidi w:val="0"/>
              <w:jc w:val="center"/>
              <w:rPr>
                <w:rFonts w:hint="eastAsia" w:ascii="仿宋_GB2312" w:hAnsi="仿宋_GB2312" w:eastAsia="仿宋_GB2312" w:cs="仿宋_GB2312"/>
                <w:sz w:val="20"/>
                <w:szCs w:val="20"/>
              </w:rPr>
            </w:pPr>
          </w:p>
        </w:tc>
        <w:tc>
          <w:tcPr>
            <w:tcW w:w="891" w:type="dxa"/>
          </w:tcPr>
          <w:p>
            <w:pPr>
              <w:pStyle w:val="48"/>
              <w:bidi w:val="0"/>
              <w:jc w:val="center"/>
              <w:rPr>
                <w:rFonts w:hint="eastAsia" w:ascii="仿宋_GB2312" w:hAnsi="仿宋_GB2312" w:eastAsia="仿宋_GB2312" w:cs="仿宋_GB2312"/>
                <w:sz w:val="20"/>
                <w:szCs w:val="20"/>
              </w:rPr>
            </w:pPr>
          </w:p>
        </w:tc>
      </w:tr>
    </w:tbl>
    <w:p>
      <w:pPr>
        <w:pStyle w:val="2"/>
        <w:bidi w:val="0"/>
        <w:rPr>
          <w:rFonts w:hint="eastAsia"/>
          <w:lang w:val="en-US" w:eastAsia="zh-CN"/>
        </w:rPr>
      </w:pPr>
      <w:bookmarkStart w:id="14" w:name="_Toc5913"/>
      <w:r>
        <w:rPr>
          <w:rFonts w:hint="eastAsia"/>
          <w:lang w:val="en-US" w:eastAsia="zh-CN"/>
        </w:rPr>
        <w:t>（三）第一课堂进程安排</w:t>
      </w:r>
      <w:bookmarkEnd w:id="14"/>
    </w:p>
    <w:p>
      <w:pPr>
        <w:bidi w:val="0"/>
        <w:rPr>
          <w:rFonts w:hint="eastAsia"/>
        </w:rPr>
      </w:pPr>
      <w:bookmarkStart w:id="15" w:name="_Toc23969"/>
      <w:bookmarkStart w:id="16" w:name="_Toc1337"/>
      <w:r>
        <w:rPr>
          <w:rFonts w:hint="eastAsia"/>
        </w:rPr>
        <w:t xml:space="preserve">1. </w:t>
      </w:r>
      <w:r>
        <w:rPr>
          <w:rFonts w:hint="eastAsia"/>
          <w:lang w:val="en-US" w:eastAsia="zh-CN"/>
        </w:rPr>
        <w:t>通识教育课程</w:t>
      </w:r>
      <w:r>
        <w:rPr>
          <w:rFonts w:hint="eastAsia"/>
        </w:rPr>
        <w:t>安排</w:t>
      </w:r>
      <w:bookmarkEnd w:id="15"/>
      <w:bookmarkEnd w:id="16"/>
    </w:p>
    <w:tbl>
      <w:tblPr>
        <w:tblStyle w:val="15"/>
        <w:tblpPr w:leftFromText="180" w:rightFromText="180" w:vertAnchor="text" w:horzAnchor="page" w:tblpX="1862" w:tblpY="614"/>
        <w:tblOverlap w:val="never"/>
        <w:tblW w:w="492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13"/>
        <w:gridCol w:w="2558"/>
        <w:gridCol w:w="1085"/>
        <w:gridCol w:w="1218"/>
        <w:gridCol w:w="1188"/>
        <w:gridCol w:w="13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blHeader/>
        </w:trPr>
        <w:tc>
          <w:tcPr>
            <w:tcW w:w="604" w:type="pct"/>
            <w:shd w:val="clear" w:color="auto" w:fill="auto"/>
            <w:vAlign w:val="center"/>
          </w:tcPr>
          <w:p>
            <w:pPr>
              <w:pStyle w:val="52"/>
              <w:bidi w:val="0"/>
              <w:rPr>
                <w:rFonts w:hint="eastAsia" w:ascii="仿宋_GB2312" w:hAnsi="仿宋_GB2312" w:eastAsia="仿宋_GB2312" w:cs="仿宋_GB2312"/>
              </w:rPr>
            </w:pPr>
            <w:bookmarkStart w:id="17" w:name="_Toc31667"/>
            <w:r>
              <w:rPr>
                <w:rFonts w:hint="eastAsia" w:ascii="仿宋_GB2312" w:hAnsi="仿宋_GB2312" w:eastAsia="仿宋_GB2312" w:cs="仿宋_GB2312"/>
              </w:rPr>
              <w:t>序号</w:t>
            </w:r>
          </w:p>
        </w:tc>
        <w:tc>
          <w:tcPr>
            <w:tcW w:w="1525" w:type="pct"/>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课程名称</w:t>
            </w:r>
          </w:p>
        </w:tc>
        <w:tc>
          <w:tcPr>
            <w:tcW w:w="647" w:type="pct"/>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课程</w:t>
            </w:r>
          </w:p>
          <w:p>
            <w:pPr>
              <w:pStyle w:val="52"/>
              <w:bidi w:val="0"/>
              <w:rPr>
                <w:rFonts w:hint="eastAsia" w:ascii="仿宋_GB2312" w:hAnsi="仿宋_GB2312" w:eastAsia="仿宋_GB2312" w:cs="仿宋_GB2312"/>
              </w:rPr>
            </w:pPr>
            <w:r>
              <w:rPr>
                <w:rFonts w:hint="eastAsia" w:ascii="仿宋_GB2312" w:hAnsi="仿宋_GB2312" w:eastAsia="仿宋_GB2312" w:cs="仿宋_GB2312"/>
              </w:rPr>
              <w:t>性质</w:t>
            </w:r>
          </w:p>
        </w:tc>
        <w:tc>
          <w:tcPr>
            <w:tcW w:w="726" w:type="pct"/>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课程代码</w:t>
            </w:r>
          </w:p>
        </w:tc>
        <w:tc>
          <w:tcPr>
            <w:tcW w:w="708" w:type="pct"/>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学分/学时</w:t>
            </w:r>
          </w:p>
        </w:tc>
        <w:tc>
          <w:tcPr>
            <w:tcW w:w="786" w:type="pct"/>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开设学期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军事技能</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11020001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2/112</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大学生安全教育（一）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95020008</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0.25/4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大学生安全教育（二）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95020009</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0.25/4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4</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大学生安全教育（三）</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95020010</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0.25/4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5</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大学生安全教育（四）</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95020011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0.25/4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6</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大学生安全教育（五）</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95020012</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0.25/4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7</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大学生安全教育（六）</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95020013</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0.25/4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8</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马克思主义基本原理</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49020032</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9</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中国近现代史纲要</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49020003</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10</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中华民族共同体概论</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49020021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2/36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军事理论</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11020002</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2/36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12</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形势与政策（一）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49020026</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0.33/8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13</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形势与政策（二）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49020027</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0.33/8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14</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形势与政策（三）</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49020028</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0.33/8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形势与政策（四）</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49020029</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0.33/8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16</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形势与政策（五）</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49020030</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0.33/8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17</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形势与政策（六）</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49020031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0.33/8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18</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思想道德与法治</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49020001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19</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国家安全教育</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49020020</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1.5/24</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20</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毛泽东思想和中国特色社会主义理论体系概论</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49020033</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2/32</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21</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习近平新时代中国特色社会主义思想概论</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49020005</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22</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大学生心理健康教育（一）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22020052</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23</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大学生心理健康教育（二）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22020053</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24</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大学生职业发展与就业指导（一）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22020054</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25</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大学生创新与创业实务（一）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22020056</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26</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大学生职业发展与就业指导（二）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22020055</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27</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大学生创新与创业实务（二）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22020057</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28</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大学体育（一）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22020058</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1.5/36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29</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大学体育（二）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22020059</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1.5/36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30</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大学体育（三）</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22020060</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1.5/36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31</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大学体育（四）</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22020061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1.5/36</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32</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大学英语（一）</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22020062</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33</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大学英语（二）</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22020063</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信息技术</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17020066</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3/48</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35</w:t>
            </w:r>
          </w:p>
        </w:tc>
        <w:tc>
          <w:tcPr>
            <w:tcW w:w="1525"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艺术修养</w:t>
            </w:r>
          </w:p>
        </w:tc>
        <w:tc>
          <w:tcPr>
            <w:tcW w:w="647"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21020001</w:t>
            </w:r>
          </w:p>
        </w:tc>
        <w:tc>
          <w:tcPr>
            <w:tcW w:w="708"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2/32</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36</w:t>
            </w:r>
          </w:p>
        </w:tc>
        <w:tc>
          <w:tcPr>
            <w:tcW w:w="1525"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人工智能应用基础</w:t>
            </w:r>
          </w:p>
        </w:tc>
        <w:tc>
          <w:tcPr>
            <w:tcW w:w="647"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17020002</w:t>
            </w:r>
          </w:p>
        </w:tc>
        <w:tc>
          <w:tcPr>
            <w:tcW w:w="708"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37</w:t>
            </w:r>
          </w:p>
        </w:tc>
        <w:tc>
          <w:tcPr>
            <w:tcW w:w="1525" w:type="pct"/>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rPr>
              <w:t>精益生产与管理基础</w:t>
            </w:r>
          </w:p>
        </w:tc>
        <w:tc>
          <w:tcPr>
            <w:tcW w:w="647" w:type="pct"/>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rPr>
              <w:t>必修课</w:t>
            </w:r>
          </w:p>
        </w:tc>
        <w:tc>
          <w:tcPr>
            <w:tcW w:w="726" w:type="pct"/>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20029999</w:t>
            </w:r>
          </w:p>
        </w:tc>
        <w:tc>
          <w:tcPr>
            <w:tcW w:w="708" w:type="pct"/>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38</w:t>
            </w:r>
          </w:p>
        </w:tc>
        <w:tc>
          <w:tcPr>
            <w:tcW w:w="1525"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中国共产党简史、社会主义发展史、新中国史、改革开放史</w:t>
            </w:r>
          </w:p>
        </w:tc>
        <w:tc>
          <w:tcPr>
            <w:tcW w:w="647"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限定选修课</w:t>
            </w:r>
          </w:p>
        </w:tc>
        <w:tc>
          <w:tcPr>
            <w:tcW w:w="72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49020019</w:t>
            </w:r>
          </w:p>
        </w:tc>
        <w:tc>
          <w:tcPr>
            <w:tcW w:w="708"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604" w:type="pct"/>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39</w:t>
            </w:r>
          </w:p>
        </w:tc>
        <w:tc>
          <w:tcPr>
            <w:tcW w:w="1525"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中国优秀传统文化</w:t>
            </w:r>
          </w:p>
        </w:tc>
        <w:tc>
          <w:tcPr>
            <w:tcW w:w="647"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限定选修课</w:t>
            </w:r>
          </w:p>
        </w:tc>
        <w:tc>
          <w:tcPr>
            <w:tcW w:w="72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22020070</w:t>
            </w:r>
          </w:p>
        </w:tc>
        <w:tc>
          <w:tcPr>
            <w:tcW w:w="708"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604"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40</w:t>
            </w:r>
          </w:p>
        </w:tc>
        <w:tc>
          <w:tcPr>
            <w:tcW w:w="1525"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通用礼仪</w:t>
            </w:r>
          </w:p>
        </w:tc>
        <w:tc>
          <w:tcPr>
            <w:tcW w:w="647"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限定选修课</w:t>
            </w:r>
          </w:p>
        </w:tc>
        <w:tc>
          <w:tcPr>
            <w:tcW w:w="72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22020022</w:t>
            </w:r>
          </w:p>
        </w:tc>
        <w:tc>
          <w:tcPr>
            <w:tcW w:w="708"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 w:hRule="atLeast"/>
        </w:trPr>
        <w:tc>
          <w:tcPr>
            <w:tcW w:w="604" w:type="pct"/>
            <w:shd w:val="clear" w:color="auto" w:fill="auto"/>
            <w:vAlign w:val="center"/>
          </w:tcPr>
          <w:p>
            <w:pPr>
              <w:pStyle w:val="48"/>
              <w:bidi w:val="0"/>
              <w:rPr>
                <w:rFonts w:hint="eastAsia" w:ascii="仿宋_GB2312" w:hAnsi="仿宋_GB2312" w:eastAsia="仿宋_GB2312" w:cs="仿宋_GB2312"/>
                <w:sz w:val="22"/>
                <w:szCs w:val="22"/>
                <w:lang w:val="en-US"/>
              </w:rPr>
            </w:pPr>
            <w:r>
              <w:rPr>
                <w:rFonts w:hint="eastAsia" w:ascii="仿宋_GB2312" w:hAnsi="仿宋_GB2312" w:eastAsia="仿宋_GB2312" w:cs="仿宋_GB2312"/>
                <w:sz w:val="22"/>
                <w:szCs w:val="22"/>
                <w:lang w:val="en-US" w:eastAsia="zh-CN"/>
              </w:rPr>
              <w:t>41</w:t>
            </w:r>
          </w:p>
        </w:tc>
        <w:tc>
          <w:tcPr>
            <w:tcW w:w="1525"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应用文写作</w:t>
            </w:r>
          </w:p>
        </w:tc>
        <w:tc>
          <w:tcPr>
            <w:tcW w:w="647"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限定选修课</w:t>
            </w:r>
          </w:p>
        </w:tc>
        <w:tc>
          <w:tcPr>
            <w:tcW w:w="72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22020071</w:t>
            </w:r>
          </w:p>
        </w:tc>
        <w:tc>
          <w:tcPr>
            <w:tcW w:w="708"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1/16</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04" w:type="pct"/>
            <w:shd w:val="clear" w:color="auto" w:fill="auto"/>
            <w:vAlign w:val="center"/>
          </w:tcPr>
          <w:p>
            <w:pPr>
              <w:pStyle w:val="48"/>
              <w:bidi w:val="0"/>
              <w:rPr>
                <w:rFonts w:hint="eastAsia" w:ascii="仿宋_GB2312" w:hAnsi="仿宋_GB2312" w:eastAsia="仿宋_GB2312" w:cs="仿宋_GB2312"/>
                <w:sz w:val="22"/>
                <w:szCs w:val="22"/>
                <w:lang w:val="en-US"/>
              </w:rPr>
            </w:pPr>
            <w:r>
              <w:rPr>
                <w:rFonts w:hint="eastAsia" w:ascii="仿宋_GB2312" w:hAnsi="仿宋_GB2312" w:eastAsia="仿宋_GB2312" w:cs="仿宋_GB2312"/>
                <w:sz w:val="22"/>
                <w:szCs w:val="22"/>
                <w:lang w:val="en-US" w:eastAsia="zh-CN"/>
              </w:rPr>
              <w:t>42</w:t>
            </w:r>
          </w:p>
        </w:tc>
        <w:tc>
          <w:tcPr>
            <w:tcW w:w="1525"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大学语文</w:t>
            </w:r>
          </w:p>
        </w:tc>
        <w:tc>
          <w:tcPr>
            <w:tcW w:w="647"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限定选修课</w:t>
            </w:r>
          </w:p>
        </w:tc>
        <w:tc>
          <w:tcPr>
            <w:tcW w:w="726"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22020072</w:t>
            </w:r>
          </w:p>
        </w:tc>
        <w:tc>
          <w:tcPr>
            <w:tcW w:w="708" w:type="pct"/>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86" w:type="pct"/>
            <w:shd w:val="clear" w:color="auto" w:fill="auto"/>
            <w:vAlign w:val="center"/>
          </w:tcPr>
          <w:p>
            <w:pPr>
              <w:pStyle w:val="48"/>
              <w:bidi w:val="0"/>
              <w:rPr>
                <w:rFonts w:hint="eastAsia" w:ascii="仿宋_GB2312" w:hAnsi="仿宋_GB2312" w:eastAsia="仿宋_GB2312" w:cs="仿宋_GB2312"/>
                <w:sz w:val="22"/>
                <w:szCs w:val="22"/>
                <w:lang w:val="en-US" w:eastAsia="zh-CN"/>
              </w:rPr>
            </w:pPr>
          </w:p>
        </w:tc>
      </w:tr>
    </w:tbl>
    <w:p>
      <w:pPr>
        <w:bidi w:val="0"/>
        <w:rPr>
          <w:rFonts w:hint="eastAsia"/>
        </w:rPr>
      </w:pPr>
      <w:r>
        <w:rPr>
          <w:rFonts w:hint="eastAsia"/>
        </w:rPr>
        <w:t>2. 专业</w:t>
      </w:r>
      <w:r>
        <w:rPr>
          <w:rFonts w:hint="eastAsia"/>
          <w:lang w:val="en-US" w:eastAsia="zh-CN"/>
        </w:rPr>
        <w:t>教育课程</w:t>
      </w:r>
      <w:r>
        <w:rPr>
          <w:rFonts w:hint="eastAsia"/>
        </w:rPr>
        <w:t>安排</w:t>
      </w:r>
    </w:p>
    <w:p>
      <w:pPr>
        <w:pStyle w:val="50"/>
        <w:bidi w:val="0"/>
        <w:rPr>
          <w:rFonts w:hint="eastAsia"/>
        </w:rPr>
      </w:pPr>
      <w:r>
        <w:rPr>
          <w:rFonts w:hint="eastAsia"/>
        </w:rPr>
        <w:t>表</w:t>
      </w:r>
      <w:r>
        <w:rPr>
          <w:rFonts w:hint="eastAsia"/>
          <w:lang w:val="en-US" w:eastAsia="zh-CN"/>
        </w:rPr>
        <w:t xml:space="preserve">7-2 </w:t>
      </w:r>
      <w:r>
        <w:rPr>
          <w:rFonts w:hint="eastAsia"/>
        </w:rPr>
        <w:t>专业</w:t>
      </w:r>
      <w:r>
        <w:rPr>
          <w:rFonts w:hint="eastAsia"/>
          <w:lang w:val="en-US" w:eastAsia="zh-CN"/>
        </w:rPr>
        <w:t>教育课程</w:t>
      </w:r>
      <w:r>
        <w:rPr>
          <w:rFonts w:hint="eastAsia"/>
        </w:rPr>
        <w:t>安排表</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8"/>
        <w:gridCol w:w="2392"/>
        <w:gridCol w:w="1211"/>
        <w:gridCol w:w="2380"/>
        <w:gridCol w:w="1032"/>
        <w:gridCol w:w="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atLeast"/>
          <w:jc w:val="center"/>
        </w:trPr>
        <w:tc>
          <w:tcPr>
            <w:tcW w:w="558" w:type="dxa"/>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序号</w:t>
            </w:r>
          </w:p>
        </w:tc>
        <w:tc>
          <w:tcPr>
            <w:tcW w:w="2392" w:type="dxa"/>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课程名称</w:t>
            </w:r>
          </w:p>
        </w:tc>
        <w:tc>
          <w:tcPr>
            <w:tcW w:w="1211" w:type="dxa"/>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课程性质</w:t>
            </w:r>
          </w:p>
        </w:tc>
        <w:tc>
          <w:tcPr>
            <w:tcW w:w="2380" w:type="dxa"/>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课程代码</w:t>
            </w:r>
          </w:p>
        </w:tc>
        <w:tc>
          <w:tcPr>
            <w:tcW w:w="1032" w:type="dxa"/>
            <w:shd w:val="clear" w:color="auto" w:fill="auto"/>
            <w:vAlign w:val="center"/>
          </w:tcPr>
          <w:p>
            <w:pPr>
              <w:pStyle w:val="52"/>
              <w:bidi w:val="0"/>
              <w:rPr>
                <w:rFonts w:hint="eastAsia" w:ascii="仿宋_GB2312" w:hAnsi="仿宋_GB2312" w:eastAsia="仿宋_GB2312" w:cs="仿宋_GB2312"/>
              </w:rPr>
            </w:pPr>
            <w:r>
              <w:rPr>
                <w:rFonts w:hint="eastAsia" w:ascii="仿宋_GB2312" w:hAnsi="仿宋_GB2312" w:eastAsia="仿宋_GB2312" w:cs="仿宋_GB2312"/>
              </w:rPr>
              <w:t>学分/学时</w:t>
            </w:r>
          </w:p>
        </w:tc>
        <w:tc>
          <w:tcPr>
            <w:tcW w:w="799" w:type="dxa"/>
            <w:shd w:val="clear" w:color="auto" w:fill="auto"/>
            <w:vAlign w:val="center"/>
          </w:tcPr>
          <w:p>
            <w:pPr>
              <w:pStyle w:val="52"/>
              <w:bidi w:val="0"/>
              <w:rPr>
                <w:rFonts w:hint="eastAsia" w:ascii="仿宋_GB2312" w:hAnsi="仿宋_GB2312" w:eastAsia="仿宋_GB2312" w:cs="仿宋_GB2312"/>
                <w:lang w:eastAsia="zh-CN"/>
              </w:rPr>
            </w:pPr>
            <w:r>
              <w:rPr>
                <w:rFonts w:hint="eastAsia" w:ascii="仿宋_GB2312" w:hAnsi="仿宋_GB2312" w:eastAsia="仿宋_GB2312" w:cs="仿宋_GB2312"/>
              </w:rPr>
              <w:t>开设</w:t>
            </w:r>
            <w:r>
              <w:rPr>
                <w:rFonts w:hint="eastAsia" w:ascii="仿宋_GB2312" w:hAnsi="仿宋_GB2312" w:eastAsia="仿宋_GB2312" w:cs="仿宋_GB2312"/>
                <w:lang w:val="en-US" w:eastAsia="zh-CN"/>
              </w:rPr>
              <w:t>学期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w:t>
            </w:r>
          </w:p>
        </w:tc>
        <w:tc>
          <w:tcPr>
            <w:tcW w:w="2392"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入学教育与专业入门</w:t>
            </w:r>
          </w:p>
        </w:tc>
        <w:tc>
          <w:tcPr>
            <w:tcW w:w="1211"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15020027</w:t>
            </w:r>
          </w:p>
        </w:tc>
        <w:tc>
          <w:tcPr>
            <w:tcW w:w="1032"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1/16</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高等数学</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22020064/22020065</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8/128</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线性代数</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22020067</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6"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c>
          <w:tcPr>
            <w:tcW w:w="2392"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劳动教育—工业·匠心</w:t>
            </w:r>
          </w:p>
        </w:tc>
        <w:tc>
          <w:tcPr>
            <w:tcW w:w="1211"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15020029</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1/</w:t>
            </w:r>
            <w:r>
              <w:rPr>
                <w:rFonts w:hint="eastAsia" w:ascii="仿宋_GB2312" w:hAnsi="仿宋_GB2312" w:eastAsia="仿宋_GB2312" w:cs="仿宋_GB2312"/>
                <w:sz w:val="22"/>
                <w:szCs w:val="22"/>
                <w:lang w:val="en-US" w:eastAsia="zh-CN"/>
              </w:rPr>
              <w:t>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c>
          <w:tcPr>
            <w:tcW w:w="2392"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大学物理（理）</w:t>
            </w:r>
          </w:p>
        </w:tc>
        <w:tc>
          <w:tcPr>
            <w:tcW w:w="1211"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rPr>
              <w:t>15020033</w:t>
            </w:r>
          </w:p>
        </w:tc>
        <w:tc>
          <w:tcPr>
            <w:tcW w:w="1032" w:type="dxa"/>
            <w:shd w:val="clear" w:color="auto" w:fill="auto"/>
            <w:vAlign w:val="center"/>
          </w:tcPr>
          <w:p>
            <w:pPr>
              <w:pStyle w:val="48"/>
              <w:bidi w:val="0"/>
              <w:rPr>
                <w:rFonts w:hint="eastAsia" w:ascii="仿宋_GB2312" w:hAnsi="仿宋_GB2312" w:eastAsia="仿宋_GB2312" w:cs="仿宋_GB2312"/>
                <w:sz w:val="22"/>
                <w:szCs w:val="22"/>
              </w:rPr>
            </w:pPr>
            <w:r>
              <w:rPr>
                <w:rFonts w:hint="eastAsia" w:ascii="仿宋_GB2312" w:hAnsi="仿宋_GB2312" w:eastAsia="仿宋_GB2312" w:cs="仿宋_GB2312"/>
                <w:sz w:val="22"/>
                <w:szCs w:val="22"/>
                <w:lang w:val="en-US" w:eastAsia="zh-CN"/>
              </w:rPr>
              <w:t>4/64</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7</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入学教育与专业入门</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15020027</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1/16</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8</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电工与电子技术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15020024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4/64</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9</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机械制图</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15020028</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3/48</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10</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工程力学</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15020215</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3/48</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11</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机械设计基础</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15020219</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4/64</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12</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电气控制与PLC应用技术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15020110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液压与气动技术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15020230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14</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机械制造技术基础</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15020134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工业控制网络技术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15020122</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2.5/40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16</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工业机器人应用技术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15020213</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3/48</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17</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传感器与视觉检测技术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15020207</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3/48</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18</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智能生产单元创新设计</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15020150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19</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工业机器人集成与调试</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15020118</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20</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智能制造装备及系统</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15020155</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2.5/40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21</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智能制造系统集成与调试</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15020153</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3/48</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22</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高级语言程序设计</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15020114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数字化设计与仿真</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15020148</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24</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数控机床装调</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15020145</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25</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设备管理与预防维修</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15020226</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26</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电工技能实训</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15020023</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2/60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27</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CAD工程图绘制</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15020097</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28</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数控机床编程与操作</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15020140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2/60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29</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电气控制系统设计与装调</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15020108</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30</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课程设计1：机械零件测绘</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15020162</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31</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课程设计2：PLC项目设计</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15020163</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32</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课程设计3：机械零部件数控加工</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15020168</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33</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课程设计4：机器人分拣工作站集成调试</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15020170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1/30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34</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毕业设计</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15020098</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5/120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35</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综合实践</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15020160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8/240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36</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岗位实习</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rPr>
              <w:t>必修课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15020113</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8/240</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37</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自动控制原理</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15020250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38</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电机与运动控制技术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15020104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39</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电气制图</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15020234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40</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嵌入式系统设计与应用</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15020240</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41</w:t>
            </w:r>
          </w:p>
        </w:tc>
        <w:tc>
          <w:tcPr>
            <w:tcW w:w="2392" w:type="dxa"/>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数控机床电气设计与安装</w:t>
            </w:r>
          </w:p>
        </w:tc>
        <w:tc>
          <w:tcPr>
            <w:tcW w:w="1211" w:type="dxa"/>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15020173</w:t>
            </w:r>
          </w:p>
        </w:tc>
        <w:tc>
          <w:tcPr>
            <w:tcW w:w="1032" w:type="dxa"/>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color w:val="auto"/>
                <w:sz w:val="22"/>
                <w:szCs w:val="22"/>
                <w:lang w:val="en-US" w:eastAsia="zh-CN"/>
              </w:rPr>
            </w:pPr>
            <w:r>
              <w:rPr>
                <w:rFonts w:hint="eastAsia" w:ascii="仿宋_GB2312" w:hAnsi="仿宋_GB2312" w:eastAsia="仿宋_GB2312" w:cs="仿宋_GB2312"/>
                <w:color w:val="auto"/>
                <w:sz w:val="22"/>
                <w:szCs w:val="22"/>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42</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工业 App 开发与应用</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15020117</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43</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智能机器人技术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15020244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44</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机器人焊接技术</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15020239</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45</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装备数据采集与监控</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15020156</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46</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智能焊接产线集成与调试</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15020243</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 w:hRule="atLeast"/>
          <w:jc w:val="center"/>
        </w:trPr>
        <w:tc>
          <w:tcPr>
            <w:tcW w:w="558"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47</w:t>
            </w:r>
          </w:p>
        </w:tc>
        <w:tc>
          <w:tcPr>
            <w:tcW w:w="239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人工智能（AI）与机器学习</w:t>
            </w:r>
          </w:p>
        </w:tc>
        <w:tc>
          <w:tcPr>
            <w:tcW w:w="1211"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选修课</w:t>
            </w:r>
          </w:p>
        </w:tc>
        <w:tc>
          <w:tcPr>
            <w:tcW w:w="2380"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15020224</w:t>
            </w:r>
          </w:p>
        </w:tc>
        <w:tc>
          <w:tcPr>
            <w:tcW w:w="1032"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2/32</w:t>
            </w:r>
          </w:p>
        </w:tc>
        <w:tc>
          <w:tcPr>
            <w:tcW w:w="799" w:type="dxa"/>
            <w:shd w:val="clear" w:color="auto" w:fill="auto"/>
            <w:vAlign w:val="center"/>
          </w:tcPr>
          <w:p>
            <w:pPr>
              <w:pStyle w:val="48"/>
              <w:bidi w:val="0"/>
              <w:rPr>
                <w:rFonts w:hint="eastAsia" w:ascii="仿宋_GB2312" w:hAnsi="仿宋_GB2312" w:eastAsia="仿宋_GB2312" w:cs="仿宋_GB2312"/>
                <w:sz w:val="22"/>
                <w:szCs w:val="22"/>
                <w:lang w:val="en-US" w:eastAsia="zh-CN"/>
              </w:rPr>
            </w:pPr>
            <w:r>
              <w:rPr>
                <w:rFonts w:hint="eastAsia" w:ascii="仿宋_GB2312" w:hAnsi="仿宋_GB2312" w:eastAsia="仿宋_GB2312" w:cs="仿宋_GB2312"/>
                <w:sz w:val="22"/>
                <w:szCs w:val="22"/>
                <w:lang w:val="en-US" w:eastAsia="zh-CN"/>
              </w:rPr>
              <w:t>7</w:t>
            </w:r>
          </w:p>
        </w:tc>
      </w:tr>
    </w:tbl>
    <w:p>
      <w:pPr>
        <w:pStyle w:val="2"/>
        <w:keepNext/>
        <w:keepLines/>
        <w:pageBreakBefore w:val="0"/>
        <w:widowControl w:val="0"/>
        <w:kinsoku/>
        <w:wordWrap/>
        <w:overflowPunct/>
        <w:topLinePunct w:val="0"/>
        <w:autoSpaceDE/>
        <w:autoSpaceDN/>
        <w:bidi w:val="0"/>
        <w:adjustRightInd/>
        <w:snapToGrid/>
        <w:spacing w:line="440" w:lineRule="exact"/>
        <w:ind w:firstLine="440" w:firstLineChars="200"/>
        <w:textAlignment w:val="auto"/>
        <w:rPr>
          <w:rFonts w:hint="default" w:ascii="仿宋_GB2312" w:hAnsi="仿宋_GB2312" w:eastAsia="仿宋_GB2312" w:cs="仿宋_GB2312"/>
          <w:b w:val="0"/>
          <w:bCs/>
          <w:sz w:val="22"/>
          <w:szCs w:val="28"/>
          <w:lang w:val="en-US" w:eastAsia="zh-CN"/>
        </w:rPr>
      </w:pPr>
      <w:r>
        <w:rPr>
          <w:rFonts w:hint="eastAsia" w:ascii="仿宋_GB2312" w:hAnsi="仿宋_GB2312" w:eastAsia="仿宋_GB2312" w:cs="仿宋_GB2312"/>
          <w:b w:val="0"/>
          <w:bCs/>
          <w:sz w:val="22"/>
          <w:szCs w:val="28"/>
          <w:lang w:val="en-US" w:eastAsia="zh-CN"/>
        </w:rPr>
        <w:t>注：限定选修课（含通识限定选修课、专业限定选修课）学生应修读并获得相应学分。</w:t>
      </w:r>
    </w:p>
    <w:p>
      <w:pPr>
        <w:pStyle w:val="2"/>
        <w:bidi w:val="0"/>
        <w:rPr>
          <w:rFonts w:hint="eastAsia"/>
          <w:lang w:val="en-US" w:eastAsia="zh-CN"/>
        </w:rPr>
      </w:pPr>
      <w:r>
        <w:rPr>
          <w:rFonts w:hint="eastAsia"/>
          <w:lang w:val="en-US" w:eastAsia="zh-CN"/>
        </w:rPr>
        <w:t>（四）第二课堂活动安排</w:t>
      </w:r>
      <w:bookmarkEnd w:id="17"/>
    </w:p>
    <w:p>
      <w:pPr>
        <w:bidi w:val="0"/>
        <w:rPr>
          <w:rFonts w:hint="eastAsia"/>
          <w:lang w:val="en-US" w:eastAsia="zh-CN"/>
        </w:rPr>
      </w:pPr>
      <w:r>
        <w:rPr>
          <w:rFonts w:hint="eastAsia"/>
          <w:lang w:val="en-US" w:eastAsia="zh-CN"/>
        </w:rPr>
        <w:t>1.通识教育模块第二课堂活动安排</w:t>
      </w:r>
    </w:p>
    <w:p>
      <w:pPr>
        <w:bidi w:val="0"/>
        <w:rPr>
          <w:rFonts w:hint="eastAsia"/>
          <w:lang w:val="en-US" w:eastAsia="zh-CN"/>
        </w:rPr>
      </w:pPr>
      <w:r>
        <w:rPr>
          <w:rFonts w:hint="eastAsia"/>
          <w:lang w:val="en-US" w:eastAsia="zh-CN"/>
        </w:rPr>
        <w:t>（详见“十、附录  （二）第二课堂活动安排”）</w:t>
      </w:r>
    </w:p>
    <w:p>
      <w:pPr>
        <w:bidi w:val="0"/>
        <w:rPr>
          <w:rFonts w:hint="eastAsia"/>
          <w:lang w:val="en-US" w:eastAsia="zh-CN"/>
        </w:rPr>
      </w:pPr>
      <w:r>
        <w:rPr>
          <w:rFonts w:hint="eastAsia"/>
          <w:lang w:val="en-US" w:eastAsia="zh-CN"/>
        </w:rPr>
        <w:t>2.专业教育模块第二课堂活动安排</w:t>
      </w:r>
    </w:p>
    <w:p>
      <w:pPr>
        <w:pStyle w:val="50"/>
        <w:bidi w:val="0"/>
        <w:rPr>
          <w:rFonts w:hint="default"/>
          <w:lang w:val="en-US" w:eastAsia="zh-CN"/>
        </w:rPr>
      </w:pPr>
      <w:r>
        <w:rPr>
          <w:rFonts w:hint="eastAsia"/>
          <w:lang w:val="en-US" w:eastAsia="zh-CN"/>
        </w:rPr>
        <w:t>表7-3专业教育模块第二课堂活动安排表</w:t>
      </w:r>
    </w:p>
    <w:tbl>
      <w:tblPr>
        <w:tblStyle w:val="16"/>
        <w:tblW w:w="9243" w:type="dxa"/>
        <w:tblInd w:w="-33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8"/>
        <w:gridCol w:w="1880"/>
        <w:gridCol w:w="474"/>
        <w:gridCol w:w="672"/>
        <w:gridCol w:w="672"/>
        <w:gridCol w:w="672"/>
        <w:gridCol w:w="672"/>
        <w:gridCol w:w="672"/>
        <w:gridCol w:w="672"/>
        <w:gridCol w:w="672"/>
        <w:gridCol w:w="676"/>
        <w:gridCol w:w="10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0" w:hRule="atLeast"/>
        </w:trPr>
        <w:tc>
          <w:tcPr>
            <w:tcW w:w="508" w:type="dxa"/>
            <w:vMerge w:val="restart"/>
            <w:vAlign w:val="center"/>
          </w:tcPr>
          <w:p>
            <w:pPr>
              <w:pStyle w:val="47"/>
              <w:bidi w:val="0"/>
              <w:rPr>
                <w:rFonts w:hint="eastAsia"/>
                <w:lang w:val="en-US" w:eastAsia="zh-CN"/>
              </w:rPr>
            </w:pPr>
            <w:bookmarkStart w:id="18" w:name="_Toc0"/>
            <w:bookmarkStart w:id="19" w:name="_Toc4696"/>
            <w:r>
              <w:rPr>
                <w:rFonts w:hint="eastAsia"/>
                <w:lang w:val="en-US" w:eastAsia="zh-CN"/>
              </w:rPr>
              <w:t>序号</w:t>
            </w:r>
            <w:bookmarkEnd w:id="18"/>
            <w:bookmarkEnd w:id="19"/>
          </w:p>
        </w:tc>
        <w:tc>
          <w:tcPr>
            <w:tcW w:w="1880" w:type="dxa"/>
            <w:vMerge w:val="restart"/>
            <w:vAlign w:val="center"/>
          </w:tcPr>
          <w:p>
            <w:pPr>
              <w:pStyle w:val="47"/>
              <w:bidi w:val="0"/>
              <w:rPr>
                <w:rFonts w:hint="eastAsia"/>
                <w:lang w:val="en-US" w:eastAsia="zh-CN"/>
              </w:rPr>
            </w:pPr>
            <w:bookmarkStart w:id="20" w:name="_Toc10937"/>
            <w:bookmarkStart w:id="21" w:name="_Toc28053"/>
            <w:r>
              <w:rPr>
                <w:rFonts w:hint="eastAsia"/>
                <w:lang w:val="en-US" w:eastAsia="zh-CN"/>
              </w:rPr>
              <w:t>活动名称</w:t>
            </w:r>
            <w:bookmarkEnd w:id="20"/>
            <w:bookmarkEnd w:id="21"/>
          </w:p>
        </w:tc>
        <w:tc>
          <w:tcPr>
            <w:tcW w:w="474" w:type="dxa"/>
            <w:vMerge w:val="restart"/>
            <w:vAlign w:val="center"/>
          </w:tcPr>
          <w:p>
            <w:pPr>
              <w:pStyle w:val="47"/>
              <w:bidi w:val="0"/>
              <w:rPr>
                <w:rFonts w:hint="eastAsia"/>
                <w:lang w:val="en-US" w:eastAsia="zh-CN"/>
              </w:rPr>
            </w:pPr>
            <w:bookmarkStart w:id="22" w:name="_Toc21917"/>
            <w:bookmarkStart w:id="23" w:name="_Toc23007"/>
            <w:r>
              <w:rPr>
                <w:rFonts w:hint="eastAsia"/>
                <w:lang w:val="en-US" w:eastAsia="zh-CN"/>
              </w:rPr>
              <w:t>活动分</w:t>
            </w:r>
            <w:bookmarkEnd w:id="22"/>
            <w:bookmarkEnd w:id="23"/>
          </w:p>
        </w:tc>
        <w:tc>
          <w:tcPr>
            <w:tcW w:w="5380" w:type="dxa"/>
            <w:gridSpan w:val="8"/>
            <w:vAlign w:val="center"/>
          </w:tcPr>
          <w:p>
            <w:pPr>
              <w:pStyle w:val="47"/>
              <w:bidi w:val="0"/>
              <w:rPr>
                <w:rFonts w:hint="eastAsia"/>
                <w:lang w:val="en-US" w:eastAsia="zh-CN"/>
              </w:rPr>
            </w:pPr>
            <w:bookmarkStart w:id="24" w:name="_Toc9657"/>
            <w:bookmarkStart w:id="25" w:name="_Toc31724"/>
            <w:r>
              <w:rPr>
                <w:rFonts w:hint="eastAsia"/>
                <w:lang w:val="en-US" w:eastAsia="zh-CN"/>
              </w:rPr>
              <w:t>学期安排</w:t>
            </w:r>
            <w:bookmarkEnd w:id="24"/>
            <w:bookmarkEnd w:id="25"/>
          </w:p>
        </w:tc>
        <w:tc>
          <w:tcPr>
            <w:tcW w:w="1001" w:type="dxa"/>
            <w:vMerge w:val="restart"/>
            <w:vAlign w:val="center"/>
          </w:tcPr>
          <w:p>
            <w:pPr>
              <w:pStyle w:val="47"/>
              <w:bidi w:val="0"/>
              <w:rPr>
                <w:rFonts w:hint="default"/>
                <w:lang w:val="en-US" w:eastAsia="zh-CN"/>
              </w:rPr>
            </w:pPr>
            <w:bookmarkStart w:id="26" w:name="_Toc31866"/>
            <w:bookmarkStart w:id="27" w:name="_Toc3833"/>
            <w:r>
              <w:rPr>
                <w:rFonts w:hint="eastAsia"/>
                <w:lang w:val="en-US" w:eastAsia="zh-CN"/>
              </w:rPr>
              <w:t>组织实施部门</w:t>
            </w:r>
            <w:bookmarkEnd w:id="26"/>
            <w:bookmarkEnd w:id="27"/>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2" w:hRule="atLeast"/>
        </w:trPr>
        <w:tc>
          <w:tcPr>
            <w:tcW w:w="508" w:type="dxa"/>
            <w:vMerge w:val="continue"/>
            <w:vAlign w:val="center"/>
          </w:tcPr>
          <w:p>
            <w:pPr>
              <w:pStyle w:val="47"/>
              <w:bidi w:val="0"/>
              <w:rPr>
                <w:rFonts w:hint="eastAsia"/>
                <w:lang w:val="en-US" w:eastAsia="zh-CN"/>
              </w:rPr>
            </w:pPr>
          </w:p>
        </w:tc>
        <w:tc>
          <w:tcPr>
            <w:tcW w:w="1880" w:type="dxa"/>
            <w:vMerge w:val="continue"/>
            <w:vAlign w:val="center"/>
          </w:tcPr>
          <w:p>
            <w:pPr>
              <w:pStyle w:val="47"/>
              <w:bidi w:val="0"/>
              <w:rPr>
                <w:rFonts w:hint="eastAsia"/>
                <w:lang w:val="en-US" w:eastAsia="zh-CN"/>
              </w:rPr>
            </w:pPr>
          </w:p>
        </w:tc>
        <w:tc>
          <w:tcPr>
            <w:tcW w:w="474" w:type="dxa"/>
            <w:vMerge w:val="continue"/>
            <w:vAlign w:val="center"/>
          </w:tcPr>
          <w:p>
            <w:pPr>
              <w:pStyle w:val="47"/>
              <w:bidi w:val="0"/>
              <w:rPr>
                <w:rFonts w:hint="eastAsia"/>
                <w:lang w:val="en-US" w:eastAsia="zh-CN"/>
              </w:rPr>
            </w:pPr>
          </w:p>
        </w:tc>
        <w:tc>
          <w:tcPr>
            <w:tcW w:w="672" w:type="dxa"/>
            <w:vAlign w:val="center"/>
          </w:tcPr>
          <w:p>
            <w:pPr>
              <w:pStyle w:val="47"/>
              <w:bidi w:val="0"/>
              <w:rPr>
                <w:rFonts w:hint="eastAsia"/>
                <w:lang w:val="en-US" w:eastAsia="zh-CN"/>
              </w:rPr>
            </w:pPr>
            <w:bookmarkStart w:id="28" w:name="_Toc17387"/>
            <w:bookmarkStart w:id="29" w:name="_Toc4898"/>
            <w:r>
              <w:rPr>
                <w:rFonts w:hint="eastAsia"/>
                <w:lang w:val="en-US" w:eastAsia="zh-CN"/>
              </w:rPr>
              <w:t>1</w:t>
            </w:r>
            <w:bookmarkEnd w:id="28"/>
            <w:bookmarkEnd w:id="29"/>
          </w:p>
        </w:tc>
        <w:tc>
          <w:tcPr>
            <w:tcW w:w="672" w:type="dxa"/>
            <w:vAlign w:val="center"/>
          </w:tcPr>
          <w:p>
            <w:pPr>
              <w:pStyle w:val="47"/>
              <w:bidi w:val="0"/>
              <w:rPr>
                <w:rFonts w:hint="eastAsia"/>
                <w:lang w:val="en-US" w:eastAsia="zh-CN"/>
              </w:rPr>
            </w:pPr>
            <w:bookmarkStart w:id="30" w:name="_Toc26535"/>
            <w:bookmarkStart w:id="31" w:name="_Toc5098"/>
            <w:r>
              <w:rPr>
                <w:rFonts w:hint="eastAsia"/>
                <w:lang w:val="en-US" w:eastAsia="zh-CN"/>
              </w:rPr>
              <w:t>2</w:t>
            </w:r>
            <w:bookmarkEnd w:id="30"/>
            <w:bookmarkEnd w:id="31"/>
          </w:p>
        </w:tc>
        <w:tc>
          <w:tcPr>
            <w:tcW w:w="672" w:type="dxa"/>
            <w:vAlign w:val="center"/>
          </w:tcPr>
          <w:p>
            <w:pPr>
              <w:pStyle w:val="47"/>
              <w:bidi w:val="0"/>
              <w:rPr>
                <w:rFonts w:hint="eastAsia"/>
                <w:lang w:val="en-US" w:eastAsia="zh-CN"/>
              </w:rPr>
            </w:pPr>
            <w:bookmarkStart w:id="32" w:name="_Toc14005"/>
            <w:bookmarkStart w:id="33" w:name="_Toc23100"/>
            <w:r>
              <w:rPr>
                <w:rFonts w:hint="eastAsia"/>
                <w:lang w:val="en-US" w:eastAsia="zh-CN"/>
              </w:rPr>
              <w:t>3</w:t>
            </w:r>
            <w:bookmarkEnd w:id="32"/>
            <w:bookmarkEnd w:id="33"/>
          </w:p>
        </w:tc>
        <w:tc>
          <w:tcPr>
            <w:tcW w:w="672" w:type="dxa"/>
            <w:vAlign w:val="center"/>
          </w:tcPr>
          <w:p>
            <w:pPr>
              <w:pStyle w:val="47"/>
              <w:bidi w:val="0"/>
              <w:rPr>
                <w:rFonts w:hint="eastAsia"/>
                <w:lang w:val="en-US" w:eastAsia="zh-CN"/>
              </w:rPr>
            </w:pPr>
            <w:bookmarkStart w:id="34" w:name="_Toc24949"/>
            <w:bookmarkStart w:id="35" w:name="_Toc7154"/>
            <w:r>
              <w:rPr>
                <w:rFonts w:hint="eastAsia"/>
                <w:lang w:val="en-US" w:eastAsia="zh-CN"/>
              </w:rPr>
              <w:t>4</w:t>
            </w:r>
            <w:bookmarkEnd w:id="34"/>
            <w:bookmarkEnd w:id="35"/>
          </w:p>
        </w:tc>
        <w:tc>
          <w:tcPr>
            <w:tcW w:w="672" w:type="dxa"/>
            <w:vAlign w:val="center"/>
          </w:tcPr>
          <w:p>
            <w:pPr>
              <w:pStyle w:val="47"/>
              <w:bidi w:val="0"/>
              <w:rPr>
                <w:rFonts w:hint="eastAsia"/>
                <w:lang w:val="en-US" w:eastAsia="zh-CN"/>
              </w:rPr>
            </w:pPr>
            <w:bookmarkStart w:id="36" w:name="_Toc1383"/>
            <w:bookmarkStart w:id="37" w:name="_Toc3262"/>
            <w:r>
              <w:rPr>
                <w:rFonts w:hint="eastAsia"/>
                <w:lang w:val="en-US" w:eastAsia="zh-CN"/>
              </w:rPr>
              <w:t>5</w:t>
            </w:r>
            <w:bookmarkEnd w:id="36"/>
            <w:bookmarkEnd w:id="37"/>
          </w:p>
        </w:tc>
        <w:tc>
          <w:tcPr>
            <w:tcW w:w="672" w:type="dxa"/>
            <w:vAlign w:val="center"/>
          </w:tcPr>
          <w:p>
            <w:pPr>
              <w:pStyle w:val="47"/>
              <w:bidi w:val="0"/>
              <w:rPr>
                <w:rFonts w:hint="eastAsia"/>
                <w:lang w:val="en-US" w:eastAsia="zh-CN"/>
              </w:rPr>
            </w:pPr>
            <w:bookmarkStart w:id="38" w:name="_Toc10542"/>
            <w:bookmarkStart w:id="39" w:name="_Toc31943"/>
            <w:r>
              <w:rPr>
                <w:rFonts w:hint="eastAsia"/>
                <w:lang w:val="en-US" w:eastAsia="zh-CN"/>
              </w:rPr>
              <w:t>6</w:t>
            </w:r>
            <w:bookmarkEnd w:id="38"/>
            <w:bookmarkEnd w:id="39"/>
          </w:p>
        </w:tc>
        <w:tc>
          <w:tcPr>
            <w:tcW w:w="672" w:type="dxa"/>
            <w:vAlign w:val="center"/>
          </w:tcPr>
          <w:p>
            <w:pPr>
              <w:pStyle w:val="47"/>
              <w:bidi w:val="0"/>
              <w:rPr>
                <w:rFonts w:hint="eastAsia"/>
                <w:lang w:val="en-US" w:eastAsia="zh-CN"/>
              </w:rPr>
            </w:pPr>
            <w:bookmarkStart w:id="40" w:name="_Toc30928"/>
            <w:bookmarkStart w:id="41" w:name="_Toc23156"/>
            <w:r>
              <w:rPr>
                <w:rFonts w:hint="eastAsia"/>
                <w:lang w:val="en-US" w:eastAsia="zh-CN"/>
              </w:rPr>
              <w:t>7</w:t>
            </w:r>
            <w:bookmarkEnd w:id="40"/>
            <w:bookmarkEnd w:id="41"/>
          </w:p>
        </w:tc>
        <w:tc>
          <w:tcPr>
            <w:tcW w:w="676" w:type="dxa"/>
            <w:vAlign w:val="center"/>
          </w:tcPr>
          <w:p>
            <w:pPr>
              <w:pStyle w:val="47"/>
              <w:bidi w:val="0"/>
              <w:rPr>
                <w:rFonts w:hint="eastAsia"/>
                <w:lang w:val="en-US" w:eastAsia="zh-CN"/>
              </w:rPr>
            </w:pPr>
            <w:bookmarkStart w:id="42" w:name="_Toc20095"/>
            <w:bookmarkStart w:id="43" w:name="_Toc9716"/>
            <w:r>
              <w:rPr>
                <w:rFonts w:hint="eastAsia"/>
                <w:lang w:val="en-US" w:eastAsia="zh-CN"/>
              </w:rPr>
              <w:t>8</w:t>
            </w:r>
            <w:bookmarkEnd w:id="42"/>
            <w:bookmarkEnd w:id="43"/>
          </w:p>
        </w:tc>
        <w:tc>
          <w:tcPr>
            <w:tcW w:w="1001" w:type="dxa"/>
            <w:vMerge w:val="continue"/>
            <w:vAlign w:val="center"/>
          </w:tcPr>
          <w:p>
            <w:pPr>
              <w:pStyle w:val="47"/>
              <w:bidi w:val="0"/>
              <w:rPr>
                <w:rFonts w:hint="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pStyle w:val="48"/>
              <w:bidi w:val="0"/>
              <w:jc w:val="center"/>
              <w:rPr>
                <w:rFonts w:hint="eastAsia"/>
                <w:lang w:val="en-US" w:eastAsia="zh-CN"/>
              </w:rPr>
            </w:pPr>
            <w:r>
              <w:rPr>
                <w:rFonts w:hint="eastAsia"/>
              </w:rPr>
              <w:t>1</w:t>
            </w:r>
          </w:p>
        </w:tc>
        <w:tc>
          <w:tcPr>
            <w:tcW w:w="1880" w:type="dxa"/>
            <w:vAlign w:val="center"/>
          </w:tcPr>
          <w:p>
            <w:pPr>
              <w:pStyle w:val="48"/>
              <w:bidi w:val="0"/>
              <w:rPr>
                <w:rFonts w:hint="eastAsia"/>
                <w:lang w:val="en-US" w:eastAsia="zh-CN"/>
              </w:rPr>
            </w:pPr>
            <w:r>
              <w:rPr>
                <w:rFonts w:hint="eastAsia"/>
                <w:lang w:val="en-US" w:eastAsia="zh-CN"/>
              </w:rPr>
              <w:t>工业机器人集成应用大赛</w:t>
            </w:r>
          </w:p>
        </w:tc>
        <w:tc>
          <w:tcPr>
            <w:tcW w:w="474" w:type="dxa"/>
            <w:vAlign w:val="center"/>
          </w:tcPr>
          <w:p>
            <w:pPr>
              <w:pStyle w:val="48"/>
              <w:bidi w:val="0"/>
              <w:rPr>
                <w:rFonts w:hint="eastAsia"/>
                <w:lang w:val="en-US" w:eastAsia="zh-CN"/>
              </w:rPr>
            </w:pPr>
            <w:r>
              <w:rPr>
                <w:rFonts w:hint="eastAsia"/>
                <w:lang w:val="en-US" w:eastAsia="zh-CN"/>
              </w:rPr>
              <w:t>6</w:t>
            </w: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r>
              <w:rPr>
                <w:rFonts w:hint="eastAsia"/>
              </w:rPr>
              <w:t>√</w:t>
            </w:r>
          </w:p>
        </w:tc>
        <w:tc>
          <w:tcPr>
            <w:tcW w:w="672" w:type="dxa"/>
            <w:vAlign w:val="center"/>
          </w:tcPr>
          <w:p>
            <w:pPr>
              <w:pStyle w:val="48"/>
              <w:bidi w:val="0"/>
              <w:rPr>
                <w:rFonts w:hint="eastAsia"/>
                <w:lang w:val="en-US" w:eastAsia="zh-CN"/>
              </w:rPr>
            </w:pPr>
          </w:p>
        </w:tc>
        <w:tc>
          <w:tcPr>
            <w:tcW w:w="676" w:type="dxa"/>
            <w:vAlign w:val="center"/>
          </w:tcPr>
          <w:p>
            <w:pPr>
              <w:pStyle w:val="48"/>
              <w:bidi w:val="0"/>
              <w:rPr>
                <w:rFonts w:hint="eastAsia"/>
                <w:lang w:val="en-US" w:eastAsia="zh-CN"/>
              </w:rPr>
            </w:pPr>
          </w:p>
        </w:tc>
        <w:tc>
          <w:tcPr>
            <w:tcW w:w="1001" w:type="dxa"/>
            <w:vAlign w:val="center"/>
          </w:tcPr>
          <w:p>
            <w:pPr>
              <w:pStyle w:val="48"/>
              <w:bidi w:val="0"/>
              <w:rPr>
                <w:rFonts w:hint="eastAsia"/>
                <w:lang w:val="en-US" w:eastAsia="zh-CN"/>
              </w:rPr>
            </w:pPr>
            <w:r>
              <w:rPr>
                <w:rFonts w:hint="eastAsia"/>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trPr>
        <w:tc>
          <w:tcPr>
            <w:tcW w:w="508" w:type="dxa"/>
            <w:vAlign w:val="center"/>
          </w:tcPr>
          <w:p>
            <w:pPr>
              <w:pStyle w:val="48"/>
              <w:bidi w:val="0"/>
              <w:jc w:val="center"/>
              <w:rPr>
                <w:rFonts w:hint="eastAsia"/>
                <w:lang w:val="en-US" w:eastAsia="zh-CN"/>
              </w:rPr>
            </w:pPr>
            <w:r>
              <w:rPr>
                <w:rFonts w:hint="eastAsia"/>
                <w:lang w:val="en-US" w:eastAsia="zh-CN"/>
              </w:rPr>
              <w:t>2</w:t>
            </w:r>
          </w:p>
        </w:tc>
        <w:tc>
          <w:tcPr>
            <w:tcW w:w="1880" w:type="dxa"/>
            <w:vAlign w:val="center"/>
          </w:tcPr>
          <w:p>
            <w:pPr>
              <w:pStyle w:val="48"/>
              <w:bidi w:val="0"/>
              <w:rPr>
                <w:rFonts w:hint="eastAsia"/>
                <w:lang w:val="en-US" w:eastAsia="zh-CN"/>
              </w:rPr>
            </w:pPr>
            <w:r>
              <w:rPr>
                <w:rFonts w:hint="eastAsia"/>
              </w:rPr>
              <w:t>智能制造技术讲座</w:t>
            </w:r>
          </w:p>
        </w:tc>
        <w:tc>
          <w:tcPr>
            <w:tcW w:w="474" w:type="dxa"/>
            <w:vAlign w:val="center"/>
          </w:tcPr>
          <w:p>
            <w:pPr>
              <w:pStyle w:val="48"/>
              <w:bidi w:val="0"/>
              <w:rPr>
                <w:rFonts w:hint="eastAsia"/>
                <w:lang w:val="en-US" w:eastAsia="zh-CN"/>
              </w:rPr>
            </w:pPr>
            <w:r>
              <w:rPr>
                <w:rFonts w:hint="eastAsia"/>
              </w:rPr>
              <w:t>6</w:t>
            </w: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r>
              <w:rPr>
                <w:rFonts w:hint="eastAsia"/>
              </w:rPr>
              <w:t>√</w:t>
            </w: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r>
              <w:rPr>
                <w:rFonts w:hint="eastAsia"/>
              </w:rPr>
              <w:t>√</w:t>
            </w:r>
          </w:p>
        </w:tc>
        <w:tc>
          <w:tcPr>
            <w:tcW w:w="672" w:type="dxa"/>
            <w:vAlign w:val="center"/>
          </w:tcPr>
          <w:p>
            <w:pPr>
              <w:pStyle w:val="48"/>
              <w:bidi w:val="0"/>
              <w:rPr>
                <w:rFonts w:hint="eastAsia"/>
                <w:lang w:val="en-US" w:eastAsia="zh-CN"/>
              </w:rPr>
            </w:pPr>
            <w:r>
              <w:rPr>
                <w:rFonts w:hint="eastAsia"/>
              </w:rPr>
              <w:t>√</w:t>
            </w:r>
          </w:p>
        </w:tc>
        <w:tc>
          <w:tcPr>
            <w:tcW w:w="672" w:type="dxa"/>
            <w:vAlign w:val="center"/>
          </w:tcPr>
          <w:p>
            <w:pPr>
              <w:pStyle w:val="48"/>
              <w:bidi w:val="0"/>
              <w:rPr>
                <w:rFonts w:hint="eastAsia"/>
                <w:lang w:val="en-US" w:eastAsia="zh-CN"/>
              </w:rPr>
            </w:pPr>
            <w:r>
              <w:rPr>
                <w:rFonts w:hint="eastAsia"/>
              </w:rPr>
              <w:t>√</w:t>
            </w:r>
          </w:p>
        </w:tc>
        <w:tc>
          <w:tcPr>
            <w:tcW w:w="676" w:type="dxa"/>
            <w:vAlign w:val="center"/>
          </w:tcPr>
          <w:p>
            <w:pPr>
              <w:pStyle w:val="48"/>
              <w:bidi w:val="0"/>
              <w:rPr>
                <w:rFonts w:hint="eastAsia"/>
                <w:lang w:val="en-US" w:eastAsia="zh-CN"/>
              </w:rPr>
            </w:pPr>
          </w:p>
        </w:tc>
        <w:tc>
          <w:tcPr>
            <w:tcW w:w="1001" w:type="dxa"/>
            <w:vAlign w:val="center"/>
          </w:tcPr>
          <w:p>
            <w:pPr>
              <w:pStyle w:val="48"/>
              <w:bidi w:val="0"/>
              <w:rPr>
                <w:rFonts w:hint="eastAsia"/>
                <w:lang w:val="en-US" w:eastAsia="zh-CN"/>
              </w:rPr>
            </w:pPr>
            <w:r>
              <w:rPr>
                <w:rFonts w:hint="eastAsia"/>
              </w:rPr>
              <w:t>二级学院、教学团队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trPr>
        <w:tc>
          <w:tcPr>
            <w:tcW w:w="508" w:type="dxa"/>
            <w:vAlign w:val="center"/>
          </w:tcPr>
          <w:p>
            <w:pPr>
              <w:pStyle w:val="48"/>
              <w:bidi w:val="0"/>
              <w:jc w:val="center"/>
              <w:rPr>
                <w:rFonts w:hint="eastAsia"/>
                <w:lang w:val="en-US" w:eastAsia="zh-CN"/>
              </w:rPr>
            </w:pPr>
            <w:r>
              <w:rPr>
                <w:rFonts w:hint="eastAsia"/>
                <w:lang w:val="en-US" w:eastAsia="zh-CN"/>
              </w:rPr>
              <w:t>3</w:t>
            </w:r>
          </w:p>
        </w:tc>
        <w:tc>
          <w:tcPr>
            <w:tcW w:w="1880" w:type="dxa"/>
            <w:vAlign w:val="center"/>
          </w:tcPr>
          <w:p>
            <w:pPr>
              <w:pStyle w:val="48"/>
              <w:bidi w:val="0"/>
              <w:rPr>
                <w:rFonts w:hint="eastAsia"/>
                <w:lang w:val="en-US" w:eastAsia="zh-CN"/>
              </w:rPr>
            </w:pPr>
            <w:r>
              <w:rPr>
                <w:rFonts w:hint="eastAsia"/>
                <w:lang w:val="en-US" w:eastAsia="zh-CN"/>
              </w:rPr>
              <w:t>青年创新创业培训讲座</w:t>
            </w:r>
          </w:p>
        </w:tc>
        <w:tc>
          <w:tcPr>
            <w:tcW w:w="474" w:type="dxa"/>
            <w:vAlign w:val="center"/>
          </w:tcPr>
          <w:p>
            <w:pPr>
              <w:pStyle w:val="48"/>
              <w:bidi w:val="0"/>
              <w:rPr>
                <w:rFonts w:hint="eastAsia"/>
                <w:lang w:val="en-US" w:eastAsia="zh-CN"/>
              </w:rPr>
            </w:pPr>
            <w:r>
              <w:rPr>
                <w:rFonts w:hint="eastAsia"/>
              </w:rPr>
              <w:t>6</w:t>
            </w: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p>
        </w:tc>
        <w:tc>
          <w:tcPr>
            <w:tcW w:w="672" w:type="dxa"/>
            <w:vAlign w:val="center"/>
          </w:tcPr>
          <w:p>
            <w:pPr>
              <w:pStyle w:val="48"/>
              <w:bidi w:val="0"/>
              <w:rPr>
                <w:rFonts w:hint="eastAsia"/>
                <w:lang w:val="en-US" w:eastAsia="zh-CN"/>
              </w:rPr>
            </w:pPr>
            <w:r>
              <w:rPr>
                <w:rFonts w:hint="eastAsia"/>
              </w:rPr>
              <w:t>√</w:t>
            </w:r>
          </w:p>
        </w:tc>
        <w:tc>
          <w:tcPr>
            <w:tcW w:w="672" w:type="dxa"/>
            <w:vAlign w:val="center"/>
          </w:tcPr>
          <w:p>
            <w:pPr>
              <w:pStyle w:val="48"/>
              <w:bidi w:val="0"/>
              <w:rPr>
                <w:rFonts w:hint="eastAsia"/>
                <w:lang w:val="en-US" w:eastAsia="zh-CN"/>
              </w:rPr>
            </w:pPr>
            <w:r>
              <w:rPr>
                <w:rFonts w:hint="eastAsia"/>
              </w:rPr>
              <w:t>√</w:t>
            </w:r>
          </w:p>
        </w:tc>
        <w:tc>
          <w:tcPr>
            <w:tcW w:w="672" w:type="dxa"/>
            <w:vAlign w:val="center"/>
          </w:tcPr>
          <w:p>
            <w:pPr>
              <w:pStyle w:val="48"/>
              <w:bidi w:val="0"/>
              <w:rPr>
                <w:rFonts w:hint="eastAsia"/>
                <w:lang w:val="en-US" w:eastAsia="zh-CN"/>
              </w:rPr>
            </w:pPr>
            <w:r>
              <w:rPr>
                <w:rFonts w:hint="eastAsia"/>
              </w:rPr>
              <w:t>√</w:t>
            </w:r>
          </w:p>
        </w:tc>
        <w:tc>
          <w:tcPr>
            <w:tcW w:w="676" w:type="dxa"/>
            <w:vAlign w:val="center"/>
          </w:tcPr>
          <w:p>
            <w:pPr>
              <w:pStyle w:val="48"/>
              <w:bidi w:val="0"/>
              <w:rPr>
                <w:rFonts w:hint="eastAsia"/>
                <w:lang w:val="en-US" w:eastAsia="zh-CN"/>
              </w:rPr>
            </w:pPr>
          </w:p>
        </w:tc>
        <w:tc>
          <w:tcPr>
            <w:tcW w:w="1001" w:type="dxa"/>
            <w:vAlign w:val="center"/>
          </w:tcPr>
          <w:p>
            <w:pPr>
              <w:pStyle w:val="48"/>
              <w:bidi w:val="0"/>
              <w:rPr>
                <w:rFonts w:hint="eastAsia"/>
                <w:lang w:val="en-US" w:eastAsia="zh-CN"/>
              </w:rPr>
            </w:pPr>
            <w:r>
              <w:rPr>
                <w:rFonts w:hint="eastAsia"/>
              </w:rPr>
              <w:t>二级学院、教学团队</w:t>
            </w:r>
          </w:p>
        </w:tc>
      </w:tr>
    </w:tbl>
    <w:p>
      <w:pPr>
        <w:pStyle w:val="2"/>
        <w:rPr>
          <w:rFonts w:hint="default"/>
          <w:lang w:val="en-US" w:eastAsia="zh-CN"/>
        </w:rPr>
        <w:sectPr>
          <w:pgSz w:w="11906" w:h="16838"/>
          <w:pgMar w:top="1440" w:right="1803" w:bottom="1440" w:left="1803" w:header="851" w:footer="992" w:gutter="0"/>
          <w:pgNumType w:fmt="decimal"/>
          <w:cols w:space="0" w:num="1"/>
          <w:docGrid w:type="lines" w:linePitch="319" w:charSpace="0"/>
        </w:sectPr>
      </w:pPr>
    </w:p>
    <w:p>
      <w:pPr>
        <w:pStyle w:val="3"/>
        <w:bidi w:val="0"/>
        <w:rPr>
          <w:rFonts w:hint="default"/>
          <w:lang w:val="en-US" w:eastAsia="zh-CN"/>
        </w:rPr>
      </w:pPr>
      <w:bookmarkStart w:id="44" w:name="_Toc27067"/>
      <w:r>
        <w:rPr>
          <w:rFonts w:hint="eastAsia"/>
          <w:lang w:val="en-US" w:eastAsia="zh-CN"/>
        </w:rPr>
        <w:t>八、实施保障</w:t>
      </w:r>
      <w:bookmarkEnd w:id="44"/>
    </w:p>
    <w:p>
      <w:pPr>
        <w:pStyle w:val="2"/>
        <w:bidi w:val="0"/>
        <w:rPr>
          <w:rFonts w:hint="eastAsia"/>
          <w:lang w:val="en-US" w:eastAsia="zh-CN"/>
        </w:rPr>
      </w:pPr>
      <w:bookmarkStart w:id="45" w:name="_Toc28671"/>
      <w:r>
        <w:rPr>
          <w:rFonts w:hint="eastAsia"/>
          <w:lang w:val="en-US" w:eastAsia="zh-CN"/>
        </w:rPr>
        <w:t>（一）实训基地配备</w:t>
      </w:r>
      <w:bookmarkEnd w:id="45"/>
    </w:p>
    <w:p>
      <w:pPr>
        <w:bidi w:val="0"/>
      </w:pPr>
      <w:r>
        <w:rPr>
          <w:rFonts w:hint="eastAsia"/>
        </w:rPr>
        <w:t>以一个教学班50人为标准，校内基地和校外基地结合，规划完成实践教学项目需要配备的实训室、实训设备等。</w:t>
      </w:r>
    </w:p>
    <w:p>
      <w:pPr>
        <w:pStyle w:val="50"/>
        <w:bidi w:val="0"/>
      </w:pPr>
      <w:r>
        <w:rPr>
          <w:rFonts w:hint="eastAsia"/>
        </w:rPr>
        <w:t>实训条件配备一览表</w:t>
      </w:r>
    </w:p>
    <w:tbl>
      <w:tblPr>
        <w:tblStyle w:val="15"/>
        <w:tblpPr w:leftFromText="180" w:rightFromText="180" w:vertAnchor="text" w:horzAnchor="page" w:tblpXSpec="center" w:tblpY="455"/>
        <w:tblOverlap w:val="never"/>
        <w:tblW w:w="105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4"/>
        <w:gridCol w:w="614"/>
        <w:gridCol w:w="1588"/>
        <w:gridCol w:w="1032"/>
        <w:gridCol w:w="1700"/>
        <w:gridCol w:w="667"/>
        <w:gridCol w:w="3186"/>
        <w:gridCol w:w="11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jc w:val="center"/>
        </w:trPr>
        <w:tc>
          <w:tcPr>
            <w:tcW w:w="614" w:type="dxa"/>
            <w:vAlign w:val="center"/>
          </w:tcPr>
          <w:p>
            <w:pPr>
              <w:pStyle w:val="47"/>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模块</w:t>
            </w:r>
          </w:p>
        </w:tc>
        <w:tc>
          <w:tcPr>
            <w:tcW w:w="614" w:type="dxa"/>
            <w:vAlign w:val="center"/>
          </w:tcPr>
          <w:p>
            <w:pPr>
              <w:pStyle w:val="47"/>
              <w:bidi w:val="0"/>
              <w:jc w:val="center"/>
              <w:rPr>
                <w:rFonts w:hint="eastAsia" w:ascii="仿宋_GB2312" w:hAnsi="仿宋_GB2312" w:eastAsia="仿宋_GB2312" w:cs="仿宋_GB2312"/>
              </w:rPr>
            </w:pPr>
            <w:r>
              <w:rPr>
                <w:rFonts w:hint="eastAsia" w:ascii="仿宋_GB2312" w:hAnsi="仿宋_GB2312" w:eastAsia="仿宋_GB2312" w:cs="仿宋_GB2312"/>
              </w:rPr>
              <w:t>序号</w:t>
            </w:r>
          </w:p>
        </w:tc>
        <w:tc>
          <w:tcPr>
            <w:tcW w:w="1588"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实训室名称</w:t>
            </w:r>
          </w:p>
        </w:tc>
        <w:tc>
          <w:tcPr>
            <w:tcW w:w="1032"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校内</w:t>
            </w:r>
          </w:p>
          <w:p>
            <w:pPr>
              <w:pStyle w:val="47"/>
              <w:bidi w:val="0"/>
              <w:rPr>
                <w:rFonts w:hint="eastAsia" w:ascii="仿宋_GB2312" w:hAnsi="仿宋_GB2312" w:eastAsia="仿宋_GB2312" w:cs="仿宋_GB2312"/>
              </w:rPr>
            </w:pPr>
            <w:r>
              <w:rPr>
                <w:rFonts w:hint="eastAsia" w:ascii="仿宋_GB2312" w:hAnsi="仿宋_GB2312" w:eastAsia="仿宋_GB2312" w:cs="仿宋_GB2312"/>
              </w:rPr>
              <w:t>/校外</w:t>
            </w:r>
          </w:p>
        </w:tc>
        <w:tc>
          <w:tcPr>
            <w:tcW w:w="1700"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主要设备名称</w:t>
            </w:r>
          </w:p>
        </w:tc>
        <w:tc>
          <w:tcPr>
            <w:tcW w:w="667"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配备数量</w:t>
            </w:r>
          </w:p>
        </w:tc>
        <w:tc>
          <w:tcPr>
            <w:tcW w:w="3186" w:type="dxa"/>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rPr>
              <w:t>实训项目</w:t>
            </w:r>
          </w:p>
          <w:p>
            <w:pPr>
              <w:pStyle w:val="47"/>
              <w:bidi w:val="0"/>
              <w:rPr>
                <w:rFonts w:hint="eastAsia" w:ascii="仿宋_GB2312" w:hAnsi="仿宋_GB2312" w:eastAsia="仿宋_GB2312" w:cs="仿宋_GB2312"/>
              </w:rPr>
            </w:pPr>
            <w:r>
              <w:rPr>
                <w:rFonts w:hint="eastAsia" w:ascii="仿宋_GB2312" w:hAnsi="仿宋_GB2312" w:eastAsia="仿宋_GB2312" w:cs="仿宋_GB2312"/>
              </w:rPr>
              <w:t>/内容</w:t>
            </w:r>
          </w:p>
        </w:tc>
        <w:tc>
          <w:tcPr>
            <w:tcW w:w="1138" w:type="dxa"/>
            <w:vAlign w:val="center"/>
          </w:tcPr>
          <w:p>
            <w:pPr>
              <w:pStyle w:val="47"/>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相关课程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restar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基础技能实践模块</w:t>
            </w: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1</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钳工实训室</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钳工台</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3186"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锉削长方体、锉削六方、刃磨钻头、凹凸配合、曲面锉削、钻孔和攻丝、开放型配合、直角凹凸转位对配、半封闭形和半开放形镶配、封闭形镶配</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金工实习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2</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普通机床拆装与维修实训室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通用设备机械本体</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15</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车床部件的拆装、车床的总装、机床典型故障的诊断与维修</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机械原理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3</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电工与电子一体化教室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电工基本技能训练操作台</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25</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常用电气线路安装、调试，交直流电机控制电路安装调试</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电工与电子技术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4</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液压与气动实训室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PLC控制液压与气动综合实验装置</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c>
          <w:tcPr>
            <w:tcW w:w="3186" w:type="dxa"/>
            <w:vAlign w:val="center"/>
          </w:tcPr>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rPr>
              <w:t>1.继电器控制液压传动回路</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rPr>
              <w:t>2.PLC控制液压传动回路</w:t>
            </w:r>
          </w:p>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rPr>
              <w:t>3.基于微机控制的液压控制系统</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4.继电器控制气动传动回路、单阀双缸同步控制回路、多缸多阀同步控制回路、双缸多步顺序控制回路</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液压与气压传动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5</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传感与检测技术一体化实训室</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温度传感器、压力传感器、距离传感器等实验台</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3186"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r>
              <w:rPr>
                <w:rFonts w:hint="eastAsia" w:ascii="仿宋_GB2312" w:hAnsi="仿宋_GB2312" w:eastAsia="仿宋_GB2312" w:cs="仿宋_GB2312"/>
              </w:rPr>
              <w:t>常见传感器的原理及功能</w:t>
            </w:r>
          </w:p>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r>
              <w:rPr>
                <w:rFonts w:hint="eastAsia" w:ascii="仿宋_GB2312" w:hAnsi="仿宋_GB2312" w:eastAsia="仿宋_GB2312" w:cs="仿宋_GB2312"/>
              </w:rPr>
              <w:t>传感器安装与调试</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传感器与视觉检测技术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6</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机床电气实训室</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普通设备电气控制装置</w:t>
            </w:r>
          </w:p>
        </w:tc>
        <w:tc>
          <w:tcPr>
            <w:tcW w:w="667"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车床、铣床、钻床、磨床、刨床电气线路安装与故障排故</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电机与运动控制技术</w:t>
            </w:r>
          </w:p>
        </w:tc>
      </w:tr>
      <w:tr>
        <w:tblPrEx>
          <w:tblCellMar>
            <w:top w:w="0" w:type="dxa"/>
            <w:left w:w="108" w:type="dxa"/>
            <w:bottom w:w="0" w:type="dxa"/>
            <w:right w:w="108" w:type="dxa"/>
          </w:tblCellMar>
        </w:tblPrEx>
        <w:trPr>
          <w:trHeight w:val="1537"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7</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机电设备控制实训室</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可编程控制器实训装置、 模拟量模块、编程器（计算机及软件）、成套设备智能实训系统</w:t>
            </w:r>
          </w:p>
        </w:tc>
        <w:tc>
          <w:tcPr>
            <w:tcW w:w="667" w:type="dxa"/>
            <w:vAlign w:val="center"/>
          </w:tcPr>
          <w:p>
            <w:pPr>
              <w:pStyle w:val="48"/>
              <w:bidi w:val="0"/>
              <w:jc w:val="center"/>
              <w:rPr>
                <w:rFonts w:hint="eastAsia" w:ascii="仿宋_GB2312" w:hAnsi="仿宋_GB2312" w:eastAsia="仿宋_GB2312" w:cs="仿宋_GB2312"/>
              </w:rPr>
            </w:pPr>
            <w:r>
              <w:rPr>
                <w:rFonts w:hint="eastAsia" w:ascii="仿宋_GB2312" w:hAnsi="仿宋_GB2312" w:eastAsia="仿宋_GB2312" w:cs="仿宋_GB2312"/>
              </w:rPr>
              <w:t>15</w:t>
            </w:r>
          </w:p>
        </w:tc>
        <w:tc>
          <w:tcPr>
            <w:tcW w:w="3186"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S7-200PLC实训，变频器实训，触摸屏实训，机床电路实训</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电机与运动控制技术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614" w:type="dxa"/>
            <w:vMerge w:val="restar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专业技能实践模块</w:t>
            </w: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8</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运动控制系统实训室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运动控制实训台（变频器、步进电机、伺服控制驱动装置套装）</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15</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步进电机项目、伺服电机项目、工业网络项目</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电机与运动控制技术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9</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ABB机器人集成区</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ABB、FANUC工业机器人本体及配套</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机器人试教、编程、仿真调试，工作站操作、维护、安装、改造、设备管理和调试</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工业机器人应用技术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数控铣床实训室</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数控铣床</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3186"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（1）数控铣床的基本操作</w:t>
            </w:r>
          </w:p>
          <w:p>
            <w:pPr>
              <w:pStyle w:val="48"/>
              <w:bidi w:val="0"/>
              <w:rPr>
                <w:rFonts w:hint="eastAsia" w:ascii="仿宋_GB2312" w:hAnsi="仿宋_GB2312" w:eastAsia="仿宋_GB2312" w:cs="仿宋_GB2312"/>
              </w:rPr>
            </w:pPr>
            <w:r>
              <w:rPr>
                <w:rFonts w:hint="eastAsia" w:ascii="仿宋_GB2312" w:hAnsi="仿宋_GB2312" w:eastAsia="仿宋_GB2312" w:cs="仿宋_GB2312"/>
              </w:rPr>
              <w:t>（2）数控铣床面板功能</w:t>
            </w:r>
          </w:p>
          <w:p>
            <w:pPr>
              <w:pStyle w:val="48"/>
              <w:bidi w:val="0"/>
              <w:rPr>
                <w:rFonts w:hint="eastAsia" w:ascii="仿宋_GB2312" w:hAnsi="仿宋_GB2312" w:eastAsia="仿宋_GB2312" w:cs="仿宋_GB2312"/>
              </w:rPr>
            </w:pPr>
            <w:r>
              <w:rPr>
                <w:rFonts w:hint="eastAsia" w:ascii="仿宋_GB2312" w:hAnsi="仿宋_GB2312" w:eastAsia="仿宋_GB2312" w:cs="仿宋_GB2312"/>
              </w:rPr>
              <w:t>（3）数控铣床手动操作与试切削</w:t>
            </w:r>
          </w:p>
          <w:p>
            <w:pPr>
              <w:pStyle w:val="48"/>
              <w:bidi w:val="0"/>
              <w:rPr>
                <w:rFonts w:hint="eastAsia" w:ascii="仿宋_GB2312" w:hAnsi="仿宋_GB2312" w:eastAsia="仿宋_GB2312" w:cs="仿宋_GB2312"/>
              </w:rPr>
            </w:pPr>
            <w:r>
              <w:rPr>
                <w:rFonts w:hint="eastAsia" w:ascii="仿宋_GB2312" w:hAnsi="仿宋_GB2312" w:eastAsia="仿宋_GB2312" w:cs="仿宋_GB2312"/>
              </w:rPr>
              <w:t>（4）数控铣床程序的输入与编辑</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数控机床编程与操作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数控设备维护与维修“1+X”证书培训及考核中心</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Fanuc数控系统</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c>
          <w:tcPr>
            <w:tcW w:w="3186"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（1）数控设备维护与维修</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设备管理与预防维修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2</w:t>
            </w:r>
          </w:p>
        </w:tc>
        <w:tc>
          <w:tcPr>
            <w:tcW w:w="158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柔性自动生产线实训室</w:t>
            </w:r>
          </w:p>
        </w:tc>
        <w:tc>
          <w:tcPr>
            <w:tcW w:w="1032"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校内 </w:t>
            </w:r>
          </w:p>
        </w:tc>
        <w:tc>
          <w:tcPr>
            <w:tcW w:w="1700"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柔性制造（物流）生产线，或模拟型生产线</w:t>
            </w:r>
          </w:p>
        </w:tc>
        <w:tc>
          <w:tcPr>
            <w:tcW w:w="667"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lang w:val="en-US" w:eastAsia="zh-CN"/>
              </w:rPr>
              <w:t>8</w:t>
            </w:r>
          </w:p>
        </w:tc>
        <w:tc>
          <w:tcPr>
            <w:tcW w:w="3186" w:type="dxa"/>
            <w:vAlign w:val="center"/>
          </w:tcPr>
          <w:p>
            <w:pPr>
              <w:pStyle w:val="48"/>
              <w:bidi w:val="0"/>
              <w:rPr>
                <w:rFonts w:hint="eastAsia" w:ascii="仿宋_GB2312" w:hAnsi="仿宋_GB2312" w:eastAsia="仿宋_GB2312" w:cs="仿宋_GB2312"/>
                <w:lang w:eastAsia="zh-CN"/>
              </w:rPr>
            </w:pPr>
            <w:r>
              <w:rPr>
                <w:rFonts w:hint="eastAsia" w:ascii="仿宋_GB2312" w:hAnsi="仿宋_GB2312" w:eastAsia="仿宋_GB2312" w:cs="仿宋_GB2312"/>
              </w:rPr>
              <w:t>PLC实训、自动生产线加工、维护实训</w:t>
            </w:r>
            <w:r>
              <w:rPr>
                <w:rFonts w:hint="eastAsia" w:ascii="仿宋_GB2312" w:hAnsi="仿宋_GB2312" w:eastAsia="仿宋_GB2312" w:cs="仿宋_GB2312"/>
                <w:lang w:eastAsia="zh-CN"/>
              </w:rPr>
              <w:t>、生产线安装与调试</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智能制造系统集成与调试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3</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数字孪生实训室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PLC1500、HMI、数字采集设备</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生产线设计与数字孪生</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智能生产单元创新设计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restart"/>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工程技能实践</w:t>
            </w: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4</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智能控制与机器视觉实验室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协作机器人、视觉相机、焊缝识别系统</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机器视觉应用训练，协作机器人无序搬运编程</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传感器与视觉检测技术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5</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T6智能制造赋能中心</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工业机器人、AGV、立体仓储、激光扫描设备</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智能装备虚拟调试、设备运行与维护、工业互联网技术、MES技术、数字孪生</w:t>
            </w:r>
          </w:p>
          <w:p>
            <w:pPr>
              <w:pStyle w:val="48"/>
              <w:bidi w:val="0"/>
              <w:rPr>
                <w:rFonts w:hint="eastAsia" w:ascii="仿宋_GB2312" w:hAnsi="仿宋_GB2312" w:eastAsia="仿宋_GB2312" w:cs="仿宋_GB2312"/>
                <w:lang w:val="en-US" w:eastAsia="zh-CN"/>
              </w:rPr>
            </w:pP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智能制造系统集成与调试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6</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工业互联网实训室</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PLC、工业网络终端、温度、压力传感器</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35</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（1）常见通讯协议（TCP/IP、MODBUS-TCP）的使用</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（2）温度、压力传感器的使用</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（3）扫描枪的使用</w:t>
            </w:r>
          </w:p>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（4）PLC1200编程与调试</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工业 APP 开发与应用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rPr>
            </w:pPr>
          </w:p>
        </w:tc>
        <w:tc>
          <w:tcPr>
            <w:tcW w:w="614" w:type="dxa"/>
            <w:vAlign w:val="center"/>
          </w:tcPr>
          <w:p>
            <w:pPr>
              <w:pStyle w:val="48"/>
              <w:bidi w:val="0"/>
              <w:jc w:val="center"/>
              <w:rPr>
                <w:rFonts w:hint="eastAsia" w:ascii="仿宋_GB2312" w:hAnsi="仿宋_GB2312" w:eastAsia="仿宋_GB2312" w:cs="仿宋_GB2312"/>
                <w:lang w:eastAsia="zh-CN"/>
              </w:rPr>
            </w:pPr>
            <w:r>
              <w:rPr>
                <w:rFonts w:hint="eastAsia" w:ascii="仿宋_GB2312" w:hAnsi="仿宋_GB2312" w:eastAsia="仿宋_GB2312" w:cs="仿宋_GB2312"/>
              </w:rPr>
              <w:t>1</w:t>
            </w:r>
            <w:r>
              <w:rPr>
                <w:rFonts w:hint="eastAsia" w:ascii="仿宋_GB2312" w:hAnsi="仿宋_GB2312" w:eastAsia="仿宋_GB2312" w:cs="仿宋_GB2312"/>
                <w:lang w:val="en-US" w:eastAsia="zh-CN"/>
              </w:rPr>
              <w:t>7</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智能装备技术虚拟仿真实训基地</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电脑工作站、3D显示屏、VR眼镜</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工业机器人、数控机床虚拟拆装与调试、生产线虚拟装调、机器人工作站工业应用虚拟仿真</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智能制造装备及系统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14" w:type="dxa"/>
            <w:vMerge w:val="restart"/>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生产综合实践</w:t>
            </w: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18</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柳州柳新汽车冲压件有限公司</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校外</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工业机器人、装配线、焊装线等维修维护</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设备维修、维护、点检、安装调试</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车间管理</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设备管理与预防维修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lang w:val="en-US" w:eastAsia="zh-CN"/>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19</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柳州商泰机械有限公司</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校外</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机械装配线、焊装线</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设备维修、维护、点检、安装调试</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车间管理</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 xml:space="preserve">智能制造系统集成与调试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lang w:val="en-US" w:eastAsia="zh-CN"/>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广西汽车集团有限公司</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校外</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工业机器人、汽车装配线、自动生产线等维修维护</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设备维修、维护、点检、安装调试</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车间管理</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装备数据采集与监控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jc w:val="center"/>
        </w:trPr>
        <w:tc>
          <w:tcPr>
            <w:tcW w:w="614" w:type="dxa"/>
            <w:vMerge w:val="continue"/>
            <w:vAlign w:val="center"/>
          </w:tcPr>
          <w:p>
            <w:pPr>
              <w:pStyle w:val="48"/>
              <w:bidi w:val="0"/>
              <w:rPr>
                <w:rFonts w:hint="eastAsia" w:ascii="仿宋_GB2312" w:hAnsi="仿宋_GB2312" w:eastAsia="仿宋_GB2312" w:cs="仿宋_GB2312"/>
                <w:lang w:val="en-US" w:eastAsia="zh-CN"/>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21</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柳州福臻车体实业有限公司</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校外</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工业机器人、装配线、焊装线</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设备维修、维护、点检、安装调试</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车间管理</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装备数据采集与监控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lang w:val="en-US" w:eastAsia="zh-CN"/>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22</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eastAsia="zh-CN"/>
              </w:rPr>
              <w:t>柳州职业技术大学</w:t>
            </w:r>
            <w:r>
              <w:rPr>
                <w:rFonts w:hint="eastAsia" w:ascii="仿宋_GB2312" w:hAnsi="仿宋_GB2312" w:eastAsia="仿宋_GB2312" w:cs="仿宋_GB2312"/>
              </w:rPr>
              <w:t>机械厂</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校内</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设备维修维护保养</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设备维修、维护、点检、安装调试</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装备升级改造</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智能制造系统集成与调试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jc w:val="center"/>
        </w:trPr>
        <w:tc>
          <w:tcPr>
            <w:tcW w:w="614" w:type="dxa"/>
            <w:vMerge w:val="continue"/>
            <w:vAlign w:val="center"/>
          </w:tcPr>
          <w:p>
            <w:pPr>
              <w:pStyle w:val="48"/>
              <w:bidi w:val="0"/>
              <w:rPr>
                <w:rFonts w:hint="eastAsia" w:ascii="仿宋_GB2312" w:hAnsi="仿宋_GB2312" w:eastAsia="仿宋_GB2312" w:cs="仿宋_GB2312"/>
                <w:lang w:val="en-US" w:eastAsia="zh-CN"/>
              </w:rPr>
            </w:pPr>
          </w:p>
        </w:tc>
        <w:tc>
          <w:tcPr>
            <w:tcW w:w="614"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23</w:t>
            </w:r>
          </w:p>
        </w:tc>
        <w:tc>
          <w:tcPr>
            <w:tcW w:w="1588"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上汽通用五菱汽车有限公司</w:t>
            </w:r>
          </w:p>
        </w:tc>
        <w:tc>
          <w:tcPr>
            <w:tcW w:w="1032"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校外</w:t>
            </w:r>
          </w:p>
        </w:tc>
        <w:tc>
          <w:tcPr>
            <w:tcW w:w="1700"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工业机器人、汽车装配线、数控机床等维修维护</w:t>
            </w:r>
          </w:p>
        </w:tc>
        <w:tc>
          <w:tcPr>
            <w:tcW w:w="667" w:type="dxa"/>
            <w:vAlign w:val="center"/>
          </w:tcPr>
          <w:p>
            <w:pPr>
              <w:pStyle w:val="48"/>
              <w:bidi w:val="0"/>
              <w:jc w:val="center"/>
              <w:rPr>
                <w:rFonts w:hint="eastAsia" w:ascii="仿宋_GB2312" w:hAnsi="仿宋_GB2312" w:eastAsia="仿宋_GB2312" w:cs="仿宋_GB2312"/>
                <w:lang w:val="en-US" w:eastAsia="zh-CN"/>
              </w:rPr>
            </w:pPr>
            <w:r>
              <w:rPr>
                <w:rFonts w:hint="eastAsia" w:ascii="仿宋_GB2312" w:hAnsi="仿宋_GB2312" w:eastAsia="仿宋_GB2312" w:cs="仿宋_GB2312"/>
              </w:rPr>
              <w:t>30</w:t>
            </w:r>
          </w:p>
        </w:tc>
        <w:tc>
          <w:tcPr>
            <w:tcW w:w="3186" w:type="dxa"/>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rPr>
              <w:t>设备维修、维护、点检、安装调试</w:t>
            </w:r>
            <w:r>
              <w:rPr>
                <w:rFonts w:hint="eastAsia" w:ascii="仿宋_GB2312" w:hAnsi="仿宋_GB2312" w:eastAsia="仿宋_GB2312" w:cs="仿宋_GB2312"/>
                <w:lang w:eastAsia="zh-CN"/>
              </w:rPr>
              <w:t>、</w:t>
            </w:r>
            <w:r>
              <w:rPr>
                <w:rFonts w:hint="eastAsia" w:ascii="仿宋_GB2312" w:hAnsi="仿宋_GB2312" w:eastAsia="仿宋_GB2312" w:cs="仿宋_GB2312"/>
                <w:lang w:val="en-US" w:eastAsia="zh-CN"/>
              </w:rPr>
              <w:t>车间管理</w:t>
            </w:r>
          </w:p>
        </w:tc>
        <w:tc>
          <w:tcPr>
            <w:tcW w:w="1138" w:type="dxa"/>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智能生产单元创新设计</w:t>
            </w:r>
          </w:p>
        </w:tc>
      </w:tr>
    </w:tbl>
    <w:p>
      <w:pPr>
        <w:pStyle w:val="2"/>
        <w:bidi w:val="0"/>
        <w:rPr>
          <w:rFonts w:hint="eastAsia"/>
          <w:lang w:val="en-US" w:eastAsia="zh-CN"/>
        </w:rPr>
      </w:pPr>
      <w:bookmarkStart w:id="46" w:name="_Toc3807"/>
      <w:r>
        <w:rPr>
          <w:rFonts w:hint="eastAsia"/>
          <w:lang w:val="en-US" w:eastAsia="zh-CN"/>
        </w:rPr>
        <w:t>（二）结构化教学团队</w:t>
      </w:r>
      <w:bookmarkEnd w:id="46"/>
    </w:p>
    <w:p>
      <w:pPr>
        <w:bidi w:val="0"/>
      </w:pPr>
      <w:r>
        <w:rPr>
          <w:rFonts w:hint="eastAsia"/>
        </w:rPr>
        <w:t>包括专任教师和兼职教师。专业带头人原则上应具有高级职称。“双师型”教师一般不低于60%。兼职教师应主要来自于行业企业，兼职教师任专业课课时占比不低于20%。</w:t>
      </w:r>
    </w:p>
    <w:p>
      <w:pPr>
        <w:rPr>
          <w:rFonts w:hint="eastAsia"/>
        </w:rPr>
      </w:pPr>
    </w:p>
    <w:p>
      <w:pPr>
        <w:pStyle w:val="2"/>
        <w:bidi w:val="0"/>
        <w:rPr>
          <w:rFonts w:hint="eastAsia"/>
          <w:lang w:val="en-US" w:eastAsia="zh-CN"/>
        </w:rPr>
      </w:pPr>
      <w:bookmarkStart w:id="47" w:name="_Toc27116"/>
      <w:r>
        <w:rPr>
          <w:rFonts w:hint="eastAsia"/>
          <w:lang w:val="en-US" w:eastAsia="zh-CN"/>
        </w:rPr>
        <w:t>（三）教学资源</w:t>
      </w:r>
      <w:bookmarkEnd w:id="47"/>
    </w:p>
    <w:p>
      <w:pPr>
        <w:bidi w:val="0"/>
      </w:pPr>
      <w:r>
        <w:rPr>
          <w:rFonts w:hint="eastAsia"/>
        </w:rPr>
        <w:t xml:space="preserve">主要包括能够满足学生专业学习、教师专业教学研究和教学实施需要的教材、图书及数字化资源等。参照国家专业教学标准的要求进行描述，包括： </w:t>
      </w:r>
    </w:p>
    <w:p>
      <w:pPr>
        <w:bidi w:val="0"/>
      </w:pPr>
      <w:r>
        <w:rPr>
          <w:rFonts w:hint="eastAsia"/>
        </w:rPr>
        <w:t>1.教材选用基本要求</w:t>
      </w:r>
    </w:p>
    <w:p>
      <w:pPr>
        <w:bidi w:val="0"/>
      </w:pPr>
      <w:r>
        <w:rPr>
          <w:rFonts w:hint="eastAsia"/>
        </w:rPr>
        <w:t>按照国家教材管理相关规定选用优质教材，教材选用应结合区域和学校实际，切实服务人才培养。</w:t>
      </w:r>
    </w:p>
    <w:p>
      <w:pPr>
        <w:bidi w:val="0"/>
      </w:pPr>
      <w:r>
        <w:rPr>
          <w:rFonts w:hint="eastAsia"/>
        </w:rPr>
        <w:t>2.图书文献配备基本要求</w:t>
      </w:r>
    </w:p>
    <w:p>
      <w:pPr>
        <w:bidi w:val="0"/>
      </w:pPr>
      <w:r>
        <w:rPr>
          <w:rFonts w:hint="eastAsia"/>
        </w:rPr>
        <w:t>图书文献配备能够满足人才培养、专业建设、教学科研等工作需要，方便师生查询、借阅。提出需配备的图书文献要求。</w:t>
      </w:r>
    </w:p>
    <w:p>
      <w:pPr>
        <w:bidi w:val="0"/>
      </w:pPr>
      <w:r>
        <w:rPr>
          <w:rFonts w:hint="eastAsia"/>
        </w:rPr>
        <w:t>3.数字教学资源配置基本要求</w:t>
      </w:r>
    </w:p>
    <w:p>
      <w:pPr>
        <w:bidi w:val="0"/>
      </w:pPr>
      <w:r>
        <w:rPr>
          <w:rFonts w:hint="eastAsia"/>
        </w:rPr>
        <w:t>提出数字教学资源配置要求。建设、配备与本专业有关的音视频素材、教学课件、微课、在线课程、数字化教学案例库、虚拟仿真软件、数字教材等数字教学资源，种类丰富、形式多样、使用便捷、动态更新、满足教学。</w:t>
      </w:r>
    </w:p>
    <w:p>
      <w:pPr>
        <w:pStyle w:val="2"/>
        <w:bidi w:val="0"/>
        <w:rPr>
          <w:rFonts w:hint="eastAsia"/>
          <w:lang w:val="en-US" w:eastAsia="zh-CN"/>
        </w:rPr>
      </w:pPr>
      <w:bookmarkStart w:id="48" w:name="_Toc2987"/>
      <w:r>
        <w:rPr>
          <w:rFonts w:hint="eastAsia"/>
          <w:lang w:val="en-US" w:eastAsia="zh-CN"/>
        </w:rPr>
        <w:t>（四）教学方法</w:t>
      </w:r>
      <w:bookmarkEnd w:id="48"/>
    </w:p>
    <w:p>
      <w:pPr>
        <w:bidi w:val="0"/>
      </w:pPr>
      <w:r>
        <w:rPr>
          <w:rFonts w:hint="eastAsia"/>
        </w:rPr>
        <w:t>对实施教学应采用的方法提出要求和建议。结合学生和教学内容的实际情况，选择适当的教学方法，广泛运用项目教学、案例教学、情境教学、混合式教学等教学模式，推进信息技术与教学有机融合。</w:t>
      </w:r>
    </w:p>
    <w:p>
      <w:pPr>
        <w:pStyle w:val="2"/>
        <w:bidi w:val="0"/>
        <w:rPr>
          <w:rFonts w:hint="eastAsia"/>
          <w:lang w:val="en-US" w:eastAsia="zh-CN"/>
        </w:rPr>
      </w:pPr>
      <w:bookmarkStart w:id="49" w:name="_Toc16360"/>
      <w:r>
        <w:rPr>
          <w:rFonts w:hint="eastAsia"/>
          <w:lang w:val="en-US" w:eastAsia="zh-CN"/>
        </w:rPr>
        <w:t>（五）学习评价</w:t>
      </w:r>
      <w:bookmarkEnd w:id="49"/>
    </w:p>
    <w:p>
      <w:pPr>
        <w:bidi w:val="0"/>
      </w:pPr>
      <w:r>
        <w:rPr>
          <w:rFonts w:hint="eastAsia"/>
        </w:rPr>
        <w:t>对学生学习评价的方式方法提出要求和建议。内容上，可以从素质、知识、能力方面进行评价；方式上，可以采用笔试、口试、项目、实践活动等多种方式对学生进行评价，采取过程性评价和结果性评价相结合的方式进行。</w:t>
      </w:r>
    </w:p>
    <w:p>
      <w:pPr>
        <w:pStyle w:val="2"/>
        <w:bidi w:val="0"/>
        <w:rPr>
          <w:rFonts w:hint="eastAsia"/>
          <w:lang w:val="en-US" w:eastAsia="zh-CN"/>
        </w:rPr>
      </w:pPr>
      <w:bookmarkStart w:id="50" w:name="_Toc47"/>
      <w:r>
        <w:rPr>
          <w:rFonts w:hint="eastAsia"/>
          <w:lang w:val="en-US" w:eastAsia="zh-CN"/>
        </w:rPr>
        <w:t>（六）质量保障</w:t>
      </w:r>
      <w:bookmarkEnd w:id="50"/>
    </w:p>
    <w:p>
      <w:pPr>
        <w:bidi w:val="0"/>
        <w:rPr>
          <w:rFonts w:hint="eastAsia"/>
          <w:lang w:val="en-US" w:eastAsia="zh-CN"/>
        </w:rPr>
      </w:pPr>
      <w:r>
        <w:rPr>
          <w:rFonts w:hint="eastAsia"/>
          <w:lang w:val="en-US" w:eastAsia="zh-CN"/>
        </w:rPr>
        <w:t>1.建立专业人才培养质量保障机制，健全专业教学质量监控管理制度，改进结果评价，强化过程评价，探索增值评价，吸纳行业组织、企业等参与评价，并及时公开相关信息，接受教育督导和社会监督，健全综合评价。完善人才培养方案、课程标准、课堂评价、实验教学、实习实训、毕业设计以及资源建设等质量保障建设，通过教学实施、过程监控、质量评价和持续改进，达到人才培养规格要求。</w:t>
      </w:r>
    </w:p>
    <w:p>
      <w:pPr>
        <w:bidi w:val="0"/>
        <w:rPr>
          <w:rFonts w:hint="eastAsia"/>
          <w:lang w:val="en-US" w:eastAsia="zh-CN"/>
        </w:rPr>
      </w:pPr>
      <w:r>
        <w:rPr>
          <w:rFonts w:hint="eastAsia"/>
          <w:lang w:val="en-US" w:eastAsia="zh-CN"/>
        </w:rPr>
        <w:t>2.完善教学管理机制，加强日常教学组织运行与管理，定期开展课程建设、日常教学、人才培养质量的诊断与改进，建立健全巡课、听课、评教、评学等制度，建立与企业联动的实践教学环节督导制度，严明教学纪律，强化教学组织功能，定期开展公开课、示范课等教研活动。</w:t>
      </w:r>
    </w:p>
    <w:p>
      <w:pPr>
        <w:bidi w:val="0"/>
        <w:rPr>
          <w:rFonts w:hint="eastAsia"/>
          <w:lang w:val="en-US" w:eastAsia="zh-CN"/>
        </w:rPr>
      </w:pPr>
      <w:r>
        <w:rPr>
          <w:rFonts w:hint="eastAsia"/>
          <w:lang w:val="en-US" w:eastAsia="zh-CN"/>
        </w:rPr>
        <w:t>3.专业教研组织建立线上线下相结合的集中备课制度，定期召开教学研讨会议，利用评价分析结果有效改进专业教学，持续提高人才培养质量。</w:t>
      </w:r>
    </w:p>
    <w:p>
      <w:pPr>
        <w:bidi w:val="0"/>
        <w:rPr>
          <w:rFonts w:hint="eastAsia"/>
        </w:rPr>
      </w:pPr>
      <w:r>
        <w:rPr>
          <w:rFonts w:hint="eastAsia"/>
          <w:lang w:val="en-US" w:eastAsia="zh-CN"/>
        </w:rPr>
        <w:t>4.建立毕业生跟踪反馈机制及社会评价机制，并对生源情况、职业道德、技术技能水平、就业质量等进行分析，定期评价人才培养质量和培养目标达成情况。</w:t>
      </w:r>
    </w:p>
    <w:p>
      <w:pPr>
        <w:pStyle w:val="3"/>
        <w:bidi w:val="0"/>
        <w:rPr>
          <w:rFonts w:hint="default"/>
          <w:lang w:val="en-US" w:eastAsia="zh-CN"/>
        </w:rPr>
      </w:pPr>
      <w:bookmarkStart w:id="51" w:name="_Toc27668"/>
      <w:r>
        <w:rPr>
          <w:rFonts w:hint="eastAsia"/>
          <w:lang w:val="en-US" w:eastAsia="zh-CN"/>
        </w:rPr>
        <w:t>九、</w:t>
      </w:r>
      <w:r>
        <w:rPr>
          <w:rFonts w:hint="eastAsia"/>
        </w:rPr>
        <w:t>毕业要求</w:t>
      </w:r>
      <w:r>
        <w:rPr>
          <w:rFonts w:hint="eastAsia"/>
          <w:lang w:val="en-US" w:eastAsia="zh-CN"/>
        </w:rPr>
        <w:t>及学位授予</w:t>
      </w:r>
      <w:bookmarkEnd w:id="51"/>
    </w:p>
    <w:p>
      <w:pPr>
        <w:pStyle w:val="2"/>
        <w:bidi w:val="0"/>
        <w:rPr>
          <w:rFonts w:hint="default"/>
          <w:lang w:val="en-US" w:eastAsia="zh-CN"/>
        </w:rPr>
      </w:pPr>
      <w:bookmarkStart w:id="52" w:name="_Toc5931"/>
      <w:r>
        <w:rPr>
          <w:rFonts w:hint="eastAsia"/>
          <w:lang w:val="en-US" w:eastAsia="zh-CN"/>
        </w:rPr>
        <w:t>（一）毕业要求</w:t>
      </w:r>
      <w:bookmarkEnd w:id="52"/>
    </w:p>
    <w:p>
      <w:pPr>
        <w:bidi w:val="0"/>
        <w:rPr>
          <w:rFonts w:hint="default"/>
          <w:lang w:val="en-US" w:eastAsia="zh-CN"/>
        </w:rPr>
      </w:pPr>
      <w:r>
        <w:rPr>
          <w:rFonts w:hint="default"/>
          <w:lang w:val="en-US" w:eastAsia="zh-CN"/>
        </w:rPr>
        <w:t xml:space="preserve">学生在规定的学习年限内修满人才培养方案规定的各教学模块的学分，总学分达到 </w:t>
      </w:r>
      <w:r>
        <w:rPr>
          <w:rFonts w:hint="eastAsia"/>
          <w:lang w:val="en-US" w:eastAsia="zh-CN"/>
        </w:rPr>
        <w:t>170</w:t>
      </w:r>
      <w:r>
        <w:rPr>
          <w:rFonts w:hint="default"/>
          <w:lang w:val="en-US" w:eastAsia="zh-CN"/>
        </w:rPr>
        <w:t xml:space="preserve"> 学分，其中各类必修学分达到 </w:t>
      </w:r>
      <w:r>
        <w:rPr>
          <w:rFonts w:hint="eastAsia"/>
          <w:lang w:val="en-US" w:eastAsia="zh-CN"/>
        </w:rPr>
        <w:t>145</w:t>
      </w:r>
      <w:r>
        <w:rPr>
          <w:rFonts w:hint="default"/>
          <w:lang w:val="en-US" w:eastAsia="zh-CN"/>
        </w:rPr>
        <w:t xml:space="preserve"> 学分，选修学分达到 </w:t>
      </w:r>
      <w:r>
        <w:rPr>
          <w:rFonts w:hint="eastAsia"/>
          <w:lang w:val="en-US" w:eastAsia="zh-CN"/>
        </w:rPr>
        <w:t>25</w:t>
      </w:r>
      <w:r>
        <w:rPr>
          <w:rFonts w:hint="default"/>
          <w:lang w:val="en-US" w:eastAsia="zh-CN"/>
        </w:rPr>
        <w:t xml:space="preserve"> 学分以上，第二课堂活动分</w:t>
      </w:r>
      <w:r>
        <w:rPr>
          <w:rFonts w:hint="eastAsia"/>
          <w:lang w:val="en-US" w:eastAsia="zh-CN"/>
        </w:rPr>
        <w:t>180</w:t>
      </w:r>
      <w:r>
        <w:rPr>
          <w:rFonts w:hint="default"/>
          <w:lang w:val="en-US" w:eastAsia="zh-CN"/>
        </w:rPr>
        <w:t xml:space="preserve"> </w:t>
      </w:r>
      <w:r>
        <w:rPr>
          <w:rFonts w:hint="eastAsia"/>
          <w:lang w:val="en-US" w:eastAsia="zh-CN"/>
        </w:rPr>
        <w:t>分，准予</w:t>
      </w:r>
      <w:r>
        <w:rPr>
          <w:rFonts w:hint="default"/>
          <w:lang w:val="en-US" w:eastAsia="zh-CN"/>
        </w:rPr>
        <w:t>毕业。</w:t>
      </w:r>
    </w:p>
    <w:p>
      <w:pPr>
        <w:pStyle w:val="2"/>
        <w:bidi w:val="0"/>
        <w:rPr>
          <w:rFonts w:hint="default"/>
          <w:lang w:val="en-US" w:eastAsia="zh-CN"/>
        </w:rPr>
      </w:pPr>
      <w:bookmarkStart w:id="53" w:name="_Toc10945"/>
      <w:r>
        <w:rPr>
          <w:rFonts w:hint="eastAsia"/>
          <w:lang w:val="en-US" w:eastAsia="zh-CN"/>
        </w:rPr>
        <w:t>（二）学位授予</w:t>
      </w:r>
      <w:bookmarkEnd w:id="53"/>
    </w:p>
    <w:p>
      <w:pPr>
        <w:bidi w:val="0"/>
        <w:rPr>
          <w:rFonts w:hint="eastAsia"/>
          <w:lang w:val="en-US" w:eastAsia="zh-CN"/>
        </w:rPr>
      </w:pPr>
      <w:r>
        <w:rPr>
          <w:rFonts w:hint="default"/>
          <w:lang w:val="en-US" w:eastAsia="zh-CN"/>
        </w:rPr>
        <w:t>符合</w:t>
      </w:r>
      <w:r>
        <w:rPr>
          <w:rFonts w:hint="eastAsia"/>
          <w:lang w:val="en-US" w:eastAsia="zh-CN"/>
        </w:rPr>
        <w:t>授予学位要求的</w:t>
      </w:r>
      <w:r>
        <w:rPr>
          <w:rFonts w:hint="default"/>
          <w:lang w:val="en-US" w:eastAsia="zh-CN"/>
        </w:rPr>
        <w:t>毕业生授予</w:t>
      </w:r>
      <w:r>
        <w:rPr>
          <w:rFonts w:hint="eastAsia"/>
          <w:lang w:val="en-US" w:eastAsia="zh-CN"/>
        </w:rPr>
        <w:t>工学</w:t>
      </w:r>
      <w:r>
        <w:rPr>
          <w:rFonts w:hint="default"/>
          <w:lang w:val="en-US" w:eastAsia="zh-CN"/>
        </w:rPr>
        <w:t>学士学位</w:t>
      </w:r>
      <w:r>
        <w:rPr>
          <w:rFonts w:hint="eastAsia"/>
          <w:lang w:val="en-US" w:eastAsia="zh-CN"/>
        </w:rPr>
        <w:t>。</w:t>
      </w:r>
    </w:p>
    <w:p>
      <w:pPr>
        <w:pStyle w:val="3"/>
        <w:bidi w:val="0"/>
        <w:rPr>
          <w:rFonts w:hint="eastAsia"/>
          <w:lang w:eastAsia="zh-CN"/>
        </w:rPr>
      </w:pPr>
      <w:bookmarkStart w:id="54" w:name="_Toc19930"/>
      <w:r>
        <w:rPr>
          <w:rFonts w:hint="eastAsia"/>
          <w:lang w:val="en-US" w:eastAsia="zh-CN"/>
        </w:rPr>
        <w:t>十、附录</w:t>
      </w:r>
      <w:bookmarkEnd w:id="54"/>
    </w:p>
    <w:p>
      <w:pPr>
        <w:pStyle w:val="2"/>
        <w:bidi w:val="0"/>
        <w:rPr>
          <w:rFonts w:hint="default"/>
          <w:lang w:val="en-US" w:eastAsia="zh-CN"/>
        </w:rPr>
      </w:pPr>
      <w:bookmarkStart w:id="55" w:name="_Toc13743"/>
      <w:r>
        <w:rPr>
          <w:rFonts w:hint="eastAsia"/>
          <w:lang w:val="en-US" w:eastAsia="zh-CN"/>
        </w:rPr>
        <w:t>（一）第一课堂进程安排表</w:t>
      </w:r>
      <w:bookmarkEnd w:id="55"/>
    </w:p>
    <w:p>
      <w:pPr>
        <w:rPr>
          <w:rFonts w:hint="eastAsia" w:ascii="仿宋" w:hAnsi="仿宋" w:eastAsia="仿宋" w:cs="仿宋"/>
          <w:sz w:val="28"/>
          <w:szCs w:val="36"/>
        </w:rPr>
      </w:pPr>
      <w:r>
        <w:rPr>
          <w:rFonts w:hint="eastAsia" w:ascii="仿宋" w:hAnsi="仿宋" w:eastAsia="仿宋" w:cs="仿宋"/>
          <w:sz w:val="28"/>
          <w:szCs w:val="36"/>
        </w:rPr>
        <w:br w:type="page"/>
      </w:r>
    </w:p>
    <w:p>
      <w:pPr>
        <w:rPr>
          <w:rFonts w:hint="eastAsia"/>
        </w:rPr>
        <w:sectPr>
          <w:footerReference r:id="rId7" w:type="default"/>
          <w:pgSz w:w="11906" w:h="16838"/>
          <w:pgMar w:top="1440" w:right="1800" w:bottom="1440" w:left="1800" w:header="851" w:footer="992" w:gutter="0"/>
          <w:pgNumType w:fmt="decimal"/>
          <w:cols w:space="425" w:num="1"/>
          <w:docGrid w:type="lines" w:linePitch="312" w:charSpace="0"/>
        </w:sectPr>
      </w:pPr>
    </w:p>
    <w:p>
      <w:pPr>
        <w:pStyle w:val="50"/>
        <w:bidi w:val="0"/>
        <w:rPr>
          <w:rFonts w:hint="eastAsia"/>
          <w:lang w:val="en-US" w:eastAsia="zh-CN"/>
        </w:rPr>
      </w:pPr>
      <w:r>
        <w:rPr>
          <w:rFonts w:hint="eastAsia"/>
          <w:lang w:val="en-US" w:eastAsia="zh-CN"/>
        </w:rPr>
        <w:t xml:space="preserve">表 10-1 </w:t>
      </w:r>
      <w:r>
        <w:rPr>
          <w:rFonts w:hint="eastAsia"/>
        </w:rPr>
        <w:t>第一课堂进程安排</w:t>
      </w:r>
      <w:r>
        <w:rPr>
          <w:rFonts w:hint="eastAsia"/>
          <w:lang w:val="en-US" w:eastAsia="zh-CN"/>
        </w:rPr>
        <w:t>表</w:t>
      </w:r>
    </w:p>
    <w:tbl>
      <w:tblPr>
        <w:tblStyle w:val="15"/>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45"/>
        <w:gridCol w:w="926"/>
        <w:gridCol w:w="609"/>
        <w:gridCol w:w="1578"/>
        <w:gridCol w:w="635"/>
        <w:gridCol w:w="737"/>
        <w:gridCol w:w="774"/>
        <w:gridCol w:w="870"/>
        <w:gridCol w:w="759"/>
        <w:gridCol w:w="700"/>
        <w:gridCol w:w="700"/>
        <w:gridCol w:w="700"/>
        <w:gridCol w:w="700"/>
        <w:gridCol w:w="581"/>
        <w:gridCol w:w="700"/>
        <w:gridCol w:w="700"/>
        <w:gridCol w:w="587"/>
        <w:gridCol w:w="12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blHeader/>
        </w:trPr>
        <w:tc>
          <w:tcPr>
            <w:tcW w:w="555"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课程模块</w:t>
            </w:r>
          </w:p>
        </w:tc>
        <w:tc>
          <w:tcPr>
            <w:tcW w:w="21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序号</w:t>
            </w:r>
          </w:p>
        </w:tc>
        <w:tc>
          <w:tcPr>
            <w:tcW w:w="55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课程名称</w:t>
            </w:r>
          </w:p>
        </w:tc>
        <w:tc>
          <w:tcPr>
            <w:tcW w:w="2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总学分</w:t>
            </w:r>
          </w:p>
        </w:tc>
        <w:tc>
          <w:tcPr>
            <w:tcW w:w="26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总学时</w:t>
            </w:r>
          </w:p>
        </w:tc>
        <w:tc>
          <w:tcPr>
            <w:tcW w:w="846" w:type="pct"/>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学时</w:t>
            </w:r>
          </w:p>
        </w:tc>
        <w:tc>
          <w:tcPr>
            <w:tcW w:w="4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第一学年</w:t>
            </w:r>
          </w:p>
        </w:tc>
        <w:tc>
          <w:tcPr>
            <w:tcW w:w="494"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第二学年</w:t>
            </w:r>
          </w:p>
        </w:tc>
        <w:tc>
          <w:tcPr>
            <w:tcW w:w="45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第三学年</w:t>
            </w:r>
          </w:p>
        </w:tc>
        <w:tc>
          <w:tcPr>
            <w:tcW w:w="45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第四学年</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0" w:hRule="atLeast"/>
          <w:tblHeader/>
        </w:trPr>
        <w:tc>
          <w:tcPr>
            <w:tcW w:w="555"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p>
        </w:tc>
        <w:tc>
          <w:tcPr>
            <w:tcW w:w="2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p>
        </w:tc>
        <w:tc>
          <w:tcPr>
            <w:tcW w:w="55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p>
        </w:tc>
        <w:tc>
          <w:tcPr>
            <w:tcW w:w="2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p>
        </w:tc>
        <w:tc>
          <w:tcPr>
            <w:tcW w:w="26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课内理论</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课内实验/实训</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课外实践教学</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5</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7</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7"/>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55" w:type="pct"/>
            <w:gridSpan w:val="2"/>
            <w:vMerge w:val="restar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通识必修课程</w:t>
            </w: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军事理论</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22</w:t>
            </w:r>
          </w:p>
        </w:tc>
        <w:tc>
          <w:tcPr>
            <w:tcW w:w="307" w:type="pct"/>
            <w:tcBorders>
              <w:top w:val="nil"/>
              <w:left w:val="nil"/>
              <w:bottom w:val="nil"/>
              <w:right w:val="nil"/>
            </w:tcBorders>
            <w:shd w:val="clear" w:color="auto" w:fill="auto"/>
            <w:noWrap/>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nil"/>
              <w:left w:val="nil"/>
              <w:bottom w:val="nil"/>
              <w:right w:val="nil"/>
            </w:tcBorders>
            <w:shd w:val="clear" w:color="auto" w:fill="auto"/>
            <w:noWrap/>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形势与政策（一）-（六）</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思想道德与法治</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国家安全教育</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5</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马克思主义基本原理</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中国近现代史纲要</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7</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毛泽东思想和中国特色社会主义理论体系概论</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习近平新时代中国特色社会主义思想概论</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nil"/>
              <w:left w:val="nil"/>
              <w:bottom w:val="nil"/>
              <w:right w:val="nil"/>
            </w:tcBorders>
            <w:shd w:val="clear" w:color="auto" w:fill="auto"/>
            <w:noWrap/>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中华民族共同体概论</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大学生职业发展与就业指导（一）-（二）</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第3、5学期各6个课外学时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大学生创新与创业实务（一）-（二）</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第4、6学期各6个课外学时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大学生安全教育（一）-（六）</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每学期按0.25学分计；</w:t>
            </w:r>
            <w:r>
              <w:rPr>
                <w:rFonts w:hint="eastAsia" w:ascii="仿宋_GB2312" w:hAnsi="仿宋_GB2312" w:eastAsia="仿宋_GB2312" w:cs="仿宋_GB2312"/>
                <w:lang w:val="en-US" w:eastAsia="zh-CN"/>
              </w:rPr>
              <w:br w:type="textWrapping"/>
            </w:r>
            <w:r>
              <w:rPr>
                <w:rFonts w:hint="eastAsia" w:ascii="仿宋_GB2312" w:hAnsi="仿宋_GB2312" w:eastAsia="仿宋_GB2312" w:cs="仿宋_GB2312"/>
                <w:lang w:val="en-US" w:eastAsia="zh-CN"/>
              </w:rPr>
              <w:t>每学期各2个课外学时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军事技能</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112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112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112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大学生心理健康教育（一）-（二）</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第1-2学期各3个课外学时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大学体育（一）-（四）</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每学期按1.5学分计；</w:t>
            </w:r>
            <w:r>
              <w:rPr>
                <w:rFonts w:hint="eastAsia" w:ascii="仿宋_GB2312" w:hAnsi="仿宋_GB2312" w:eastAsia="仿宋_GB2312" w:cs="仿宋_GB2312"/>
                <w:lang w:val="en-US" w:eastAsia="zh-CN"/>
              </w:rPr>
              <w:br w:type="textWrapping"/>
            </w:r>
            <w:r>
              <w:rPr>
                <w:rFonts w:hint="eastAsia" w:ascii="仿宋_GB2312" w:hAnsi="仿宋_GB2312" w:eastAsia="仿宋_GB2312" w:cs="仿宋_GB2312"/>
                <w:lang w:val="en-US" w:eastAsia="zh-CN"/>
              </w:rPr>
              <w:t>每学期各4个课外学时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16</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艺术修养</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17</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大学英语（一）-（二）</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96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84</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18</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信息技术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36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精益生产与管理基础</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4</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人工智能应用基础</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555" w:type="pct"/>
            <w:gridSpan w:val="2"/>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52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980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510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270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356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224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144</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76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通识选修课程</w:t>
            </w:r>
          </w:p>
        </w:tc>
        <w:tc>
          <w:tcPr>
            <w:tcW w:w="326" w:type="pct"/>
            <w:vMerge w:val="restart"/>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限定选修课程</w:t>
            </w:r>
          </w:p>
        </w:tc>
        <w:tc>
          <w:tcPr>
            <w:tcW w:w="21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四史类</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中国共产党简史</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1894" w:type="pct"/>
            <w:gridSpan w:val="8"/>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至少修得1学分</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社会主义发展史</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1894"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新中国史</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1894"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改革开放史</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1894" w:type="pct"/>
            <w:gridSpan w:val="8"/>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restar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职业素养类</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中国优秀传统文化</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1894" w:type="pct"/>
            <w:gridSpan w:val="8"/>
            <w:vMerge w:val="restar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至少修得1学分</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通用礼仪</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1894" w:type="pct"/>
            <w:gridSpan w:val="8"/>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应用文写作</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1894" w:type="pct"/>
            <w:gridSpan w:val="8"/>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rPr>
              <w:t>第三学期开设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大学语文</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nil"/>
              <w:left w:val="nil"/>
              <w:bottom w:val="nil"/>
              <w:right w:val="nil"/>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1894" w:type="pct"/>
            <w:gridSpan w:val="8"/>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3"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任意选修课程</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6</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96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92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专业必修课程</w:t>
            </w:r>
          </w:p>
        </w:tc>
        <w:tc>
          <w:tcPr>
            <w:tcW w:w="3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专业通识课程</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高等数学</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线性代数</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05" w:type="pct"/>
            <w:tcBorders>
              <w:top w:val="single" w:color="000000" w:sz="4" w:space="0"/>
              <w:left w:val="single" w:color="000000" w:sz="4" w:space="0"/>
              <w:bottom w:val="single" w:color="auto"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47" w:type="pct"/>
            <w:tcBorders>
              <w:top w:val="single" w:color="000000" w:sz="4" w:space="0"/>
              <w:left w:val="single" w:color="000000" w:sz="4" w:space="0"/>
              <w:bottom w:val="single" w:color="auto"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47" w:type="pct"/>
            <w:tcBorders>
              <w:top w:val="single" w:color="000000" w:sz="4" w:space="0"/>
              <w:left w:val="single" w:color="000000" w:sz="4" w:space="0"/>
              <w:bottom w:val="single" w:color="auto"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05" w:type="pct"/>
            <w:tcBorders>
              <w:top w:val="single" w:color="000000" w:sz="4" w:space="0"/>
              <w:left w:val="single" w:color="000000" w:sz="4" w:space="0"/>
              <w:bottom w:val="single" w:color="auto"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446" w:type="pct"/>
            <w:tcBorders>
              <w:top w:val="single" w:color="000000" w:sz="4" w:space="0"/>
              <w:left w:val="single" w:color="000000" w:sz="4" w:space="0"/>
              <w:bottom w:val="single" w:color="auto"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1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大学物理</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2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ascii="仿宋_GB2312" w:hAnsi="仿宋_GB2312" w:eastAsia="仿宋_GB2312" w:cs="仿宋_GB2312"/>
              </w:rPr>
            </w:pPr>
          </w:p>
        </w:tc>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含实验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224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180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44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128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32</w:t>
            </w:r>
          </w:p>
        </w:tc>
        <w:tc>
          <w:tcPr>
            <w:tcW w:w="247" w:type="pct"/>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专业基础课程</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入学教育与专业入门</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auto"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auto"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auto"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auto"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auto"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电工与电子技术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28</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机械制图</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工程力学</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5</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机械设计基础</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电气控制与PLC应用技术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液压与气动技术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机械制造技术基础</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336</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186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128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96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80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专业核心课程</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工业控制网络技术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2.5</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工业机器人应用技术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11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传感器与视觉检测技术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智能生产单元创新设计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rPr>
            </w:pPr>
            <w:r>
              <w:rPr>
                <w:rFonts w:hint="eastAsia" w:ascii="仿宋_GB2312" w:hAnsi="仿宋_GB2312" w:eastAsia="仿宋_GB2312" w:cs="仿宋_GB2312"/>
                <w:lang w:val="en-US" w:eastAsia="zh-CN"/>
              </w:rPr>
              <w:t>13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工业机器人集成与调试</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14</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智能制造装备及系统</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2.5</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15</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智能制造系统集成与调试</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48</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288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144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136</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48</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95"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专业拓展课</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16</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高级语言程序设计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17</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数字化设计与仿真</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18</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数控机床装调</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设备管理与预防维修</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128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50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58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64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top"/>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综合实践课程</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20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劳动教育—工业匠心</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nil"/>
              <w:left w:val="nil"/>
              <w:bottom w:val="nil"/>
              <w:right w:val="nil"/>
            </w:tcBorders>
            <w:shd w:val="clear" w:color="auto" w:fill="auto"/>
            <w:noWrap/>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 xml:space="preserve"> </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 xml:space="preserve"> </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各二级学院自主开展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电工技能实训</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CAD工程图绘制</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数控机床编程与操作</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电气控制系统设计与装调</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课程设计1：机械零件测绘</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vMerge w:val="restar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学期综合实践项目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课程设计2：PLC项目设计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课程设计3：机械零部件数控加工</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课程设计4：机器人分拣工作站集成调试</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毕业设计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各二级学院自主开展</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综合实践</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120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nil"/>
              <w:left w:val="nil"/>
              <w:bottom w:val="nil"/>
              <w:right w:val="nil"/>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25</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岗位实习</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default" w:ascii="仿宋_GB2312" w:hAnsi="仿宋_GB2312" w:eastAsia="仿宋_GB2312" w:cs="仿宋_GB2312"/>
                <w:lang w:val="en-US"/>
              </w:rPr>
            </w:pPr>
            <w:r>
              <w:rPr>
                <w:rFonts w:hint="eastAsia" w:ascii="仿宋_GB2312" w:hAnsi="仿宋_GB2312" w:eastAsia="仿宋_GB2312" w:cs="仿宋_GB2312"/>
                <w:lang w:val="en-US" w:eastAsia="zh-CN"/>
              </w:rPr>
              <w:t>240</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360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932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232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700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120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90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60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360</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240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专业选修课程</w:t>
            </w:r>
          </w:p>
        </w:tc>
        <w:tc>
          <w:tcPr>
            <w:tcW w:w="326" w:type="pct"/>
            <w:vMerge w:val="restart"/>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自动控制原理</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24</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电机与运动控制技术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电气制图</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专业限选课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4</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嵌入式系统设计与应用</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5</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数控机床电气设计与安装</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6</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工业 App 开发与应用</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16</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7</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智能机器人技术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8</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机器人焊接技术</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326" w:type="pct"/>
            <w:vMerge w:val="continue"/>
            <w:tcBorders>
              <w:top w:val="nil"/>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装备数据采集与监控</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专业限选课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 w:hRule="atLeast"/>
        </w:trPr>
        <w:tc>
          <w:tcPr>
            <w:tcW w:w="228" w:type="pct"/>
            <w:vMerge w:val="continue"/>
            <w:tcBorders>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326" w:type="pct"/>
            <w:vMerge w:val="continue"/>
            <w:tcBorders>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智能焊接产线集成与调试</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12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20</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ind w:firstLine="0" w:firstLineChars="0"/>
              <w:rPr>
                <w:rFonts w:hint="eastAsia" w:ascii="仿宋_GB2312" w:hAnsi="仿宋_GB2312" w:eastAsia="仿宋_GB2312" w:cs="仿宋_GB2312"/>
                <w:kern w:val="2"/>
                <w:sz w:val="24"/>
                <w:szCs w:val="24"/>
                <w:lang w:val="en-US" w:eastAsia="zh-CN" w:bidi="ar-SA"/>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 w:hRule="atLeast"/>
        </w:trPr>
        <w:tc>
          <w:tcPr>
            <w:tcW w:w="228" w:type="pct"/>
            <w:vMerge w:val="continue"/>
            <w:tcBorders>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326" w:type="pct"/>
            <w:vMerge w:val="continue"/>
            <w:tcBorders>
              <w:left w:val="single" w:color="000000" w:sz="4" w:space="0"/>
              <w:bottom w:val="nil"/>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11</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人工智能（AI）与机器学习</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20</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12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“微专业”课程组</w:t>
            </w: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6</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7</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8</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9</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1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10</w:t>
            </w:r>
          </w:p>
        </w:tc>
        <w:tc>
          <w:tcPr>
            <w:tcW w:w="55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77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小计</w:t>
            </w:r>
          </w:p>
        </w:tc>
        <w:tc>
          <w:tcPr>
            <w:tcW w:w="2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lang w:val="en-US"/>
              </w:rPr>
            </w:pPr>
            <w:r>
              <w:rPr>
                <w:rFonts w:hint="eastAsia" w:ascii="仿宋_GB2312" w:hAnsi="仿宋_GB2312" w:eastAsia="仿宋_GB2312" w:cs="仿宋_GB2312"/>
                <w:lang w:val="en-US" w:eastAsia="zh-CN"/>
              </w:rPr>
              <w:t>19</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304</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152</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lang w:val="en-US" w:eastAsia="zh-CN"/>
              </w:rPr>
            </w:pPr>
            <w:r>
              <w:rPr>
                <w:rFonts w:hint="eastAsia" w:ascii="仿宋_GB2312" w:hAnsi="仿宋_GB2312" w:eastAsia="仿宋_GB2312" w:cs="仿宋_GB2312"/>
                <w:lang w:val="en-US" w:eastAsia="zh-CN"/>
              </w:rPr>
              <w:t>32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2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326"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p>
        </w:tc>
        <w:tc>
          <w:tcPr>
            <w:tcW w:w="4444" w:type="pct"/>
            <w:gridSpan w:val="16"/>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注：含学生自主选修“微专业”8个学分。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1327" w:type="pct"/>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合计</w:t>
            </w:r>
          </w:p>
        </w:tc>
        <w:tc>
          <w:tcPr>
            <w:tcW w:w="224"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170</w:t>
            </w:r>
          </w:p>
        </w:tc>
        <w:tc>
          <w:tcPr>
            <w:tcW w:w="260"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3288</w:t>
            </w:r>
          </w:p>
        </w:tc>
        <w:tc>
          <w:tcPr>
            <w:tcW w:w="273"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1282</w:t>
            </w:r>
          </w:p>
        </w:tc>
        <w:tc>
          <w:tcPr>
            <w:tcW w:w="30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1018</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988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580</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504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374</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346</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272</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228</w:t>
            </w:r>
          </w:p>
        </w:tc>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408</w:t>
            </w:r>
          </w:p>
        </w:tc>
        <w:tc>
          <w:tcPr>
            <w:tcW w:w="205"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jc w:val="center"/>
              <w:rPr>
                <w:rFonts w:hint="eastAsia" w:ascii="仿宋_GB2312" w:hAnsi="仿宋_GB2312" w:eastAsia="仿宋_GB2312" w:cs="仿宋_GB2312"/>
                <w:b/>
                <w:bCs/>
              </w:rPr>
            </w:pPr>
            <w:r>
              <w:rPr>
                <w:rFonts w:hint="eastAsia" w:ascii="仿宋_GB2312" w:hAnsi="仿宋_GB2312" w:eastAsia="仿宋_GB2312" w:cs="仿宋_GB2312"/>
                <w:b/>
                <w:bCs/>
                <w:lang w:val="en-US" w:eastAsia="zh-CN"/>
              </w:rPr>
              <w:t>240</w:t>
            </w:r>
          </w:p>
        </w:tc>
        <w:tc>
          <w:tcPr>
            <w:tcW w:w="4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659" w:type="pct"/>
            <w:gridSpan w:val="9"/>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 xml:space="preserve">                周学时</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30.9</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31.5</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23.4</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21.6</w:t>
            </w:r>
          </w:p>
        </w:tc>
        <w:tc>
          <w:tcPr>
            <w:tcW w:w="2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17</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14.3</w:t>
            </w:r>
          </w:p>
        </w:tc>
        <w:tc>
          <w:tcPr>
            <w:tcW w:w="24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25.5</w:t>
            </w:r>
          </w:p>
        </w:tc>
        <w:tc>
          <w:tcPr>
            <w:tcW w:w="2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r>
              <w:rPr>
                <w:rFonts w:hint="eastAsia" w:ascii="仿宋_GB2312" w:hAnsi="仿宋_GB2312" w:eastAsia="仿宋_GB2312" w:cs="仿宋_GB2312"/>
                <w:lang w:val="en-US" w:eastAsia="zh-CN"/>
              </w:rPr>
              <w:t>15</w:t>
            </w:r>
          </w:p>
        </w:tc>
        <w:tc>
          <w:tcPr>
            <w:tcW w:w="4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ascii="仿宋_GB2312" w:hAnsi="仿宋_GB2312" w:eastAsia="仿宋_GB2312" w:cs="仿宋_GB2312"/>
              </w:rPr>
            </w:pPr>
          </w:p>
        </w:tc>
      </w:tr>
    </w:tbl>
    <w:p>
      <w:pPr>
        <w:pStyle w:val="24"/>
        <w:adjustRightInd w:val="0"/>
        <w:snapToGrid w:val="0"/>
        <w:spacing w:line="360" w:lineRule="auto"/>
        <w:ind w:left="480" w:firstLine="0" w:firstLineChars="0"/>
        <w:rPr>
          <w:rFonts w:ascii="仿宋" w:hAnsi="仿宋" w:eastAsia="仿宋" w:cs="仿宋"/>
          <w:sz w:val="28"/>
          <w:szCs w:val="28"/>
        </w:rPr>
        <w:sectPr>
          <w:pgSz w:w="16838" w:h="11906" w:orient="landscape"/>
          <w:pgMar w:top="1803" w:right="1440" w:bottom="1803" w:left="1440" w:header="851" w:footer="992" w:gutter="0"/>
          <w:pgNumType w:fmt="decimal"/>
          <w:cols w:space="0" w:num="1"/>
          <w:rtlGutter w:val="0"/>
          <w:docGrid w:type="lines" w:linePitch="319" w:charSpace="0"/>
        </w:sectPr>
      </w:pPr>
    </w:p>
    <w:p>
      <w:pPr>
        <w:pStyle w:val="2"/>
        <w:bidi w:val="0"/>
        <w:rPr>
          <w:rFonts w:hint="default"/>
          <w:lang w:val="en-US" w:eastAsia="zh-CN"/>
        </w:rPr>
      </w:pPr>
      <w:bookmarkStart w:id="56" w:name="_Toc2755"/>
      <w:r>
        <w:rPr>
          <w:rFonts w:hint="eastAsia"/>
          <w:lang w:val="en-US" w:eastAsia="zh-CN"/>
        </w:rPr>
        <w:t>（二）第二课堂活动安排表</w:t>
      </w:r>
      <w:bookmarkEnd w:id="56"/>
    </w:p>
    <w:p>
      <w:pPr>
        <w:pStyle w:val="50"/>
        <w:bidi w:val="0"/>
        <w:rPr>
          <w:rFonts w:hint="eastAsia"/>
        </w:rPr>
      </w:pPr>
      <w:r>
        <w:rPr>
          <w:rFonts w:hint="eastAsia"/>
        </w:rPr>
        <w:t>表</w:t>
      </w:r>
      <w:r>
        <w:rPr>
          <w:rFonts w:hint="eastAsia"/>
          <w:lang w:val="en-US" w:eastAsia="zh-CN"/>
        </w:rPr>
        <w:t>10-2</w:t>
      </w:r>
      <w:r>
        <w:rPr>
          <w:rFonts w:hint="eastAsia"/>
        </w:rPr>
        <w:t>第二课堂活动安排表</w:t>
      </w:r>
    </w:p>
    <w:tbl>
      <w:tblPr>
        <w:tblStyle w:val="15"/>
        <w:tblW w:w="0" w:type="auto"/>
        <w:tblInd w:w="0" w:type="dxa"/>
        <w:tblLayout w:type="autofit"/>
        <w:tblCellMar>
          <w:top w:w="0" w:type="dxa"/>
          <w:left w:w="108" w:type="dxa"/>
          <w:bottom w:w="0" w:type="dxa"/>
          <w:right w:w="108" w:type="dxa"/>
        </w:tblCellMar>
      </w:tblPr>
      <w:tblGrid>
        <w:gridCol w:w="1414"/>
        <w:gridCol w:w="519"/>
        <w:gridCol w:w="1954"/>
        <w:gridCol w:w="659"/>
        <w:gridCol w:w="456"/>
        <w:gridCol w:w="456"/>
        <w:gridCol w:w="456"/>
        <w:gridCol w:w="456"/>
        <w:gridCol w:w="456"/>
        <w:gridCol w:w="456"/>
        <w:gridCol w:w="456"/>
        <w:gridCol w:w="456"/>
        <w:gridCol w:w="4219"/>
        <w:gridCol w:w="1761"/>
      </w:tblGrid>
      <w:tr>
        <w:tblPrEx>
          <w:tblCellMar>
            <w:top w:w="0" w:type="dxa"/>
            <w:left w:w="108" w:type="dxa"/>
            <w:bottom w:w="0" w:type="dxa"/>
            <w:right w:w="108" w:type="dxa"/>
          </w:tblCellMar>
        </w:tblPrEx>
        <w:trPr>
          <w:trHeight w:val="174" w:hRule="atLeast"/>
          <w:tblHeader/>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活动体系分类</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序号</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活动名称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活动分/次</w:t>
            </w:r>
          </w:p>
        </w:tc>
        <w:tc>
          <w:tcPr>
            <w:tcW w:w="0" w:type="auto"/>
            <w:gridSpan w:val="8"/>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学期安排</w:t>
            </w:r>
          </w:p>
        </w:tc>
        <w:tc>
          <w:tcPr>
            <w:tcW w:w="421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活动对应课程名称</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组织实施</w:t>
            </w:r>
          </w:p>
        </w:tc>
      </w:tr>
      <w:tr>
        <w:tblPrEx>
          <w:tblCellMar>
            <w:top w:w="0" w:type="dxa"/>
            <w:left w:w="108" w:type="dxa"/>
            <w:bottom w:w="0" w:type="dxa"/>
            <w:right w:w="108" w:type="dxa"/>
          </w:tblCellMar>
        </w:tblPrEx>
        <w:trPr>
          <w:trHeight w:val="106" w:hRule="atLeast"/>
          <w:tblHeader/>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421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（一）“立德修身”模块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厚植爱国爱校情怀教育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形势与政策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学工处+马克思主义学院+二级学院</w:t>
            </w:r>
          </w:p>
        </w:tc>
      </w:tr>
      <w:tr>
        <w:tblPrEx>
          <w:tblCellMar>
            <w:top w:w="0" w:type="dxa"/>
            <w:left w:w="108" w:type="dxa"/>
            <w:bottom w:w="0" w:type="dxa"/>
            <w:right w:w="108" w:type="dxa"/>
          </w:tblCellMar>
        </w:tblPrEx>
        <w:trPr>
          <w:trHeight w:val="35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法治教育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思想道德与法治</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学工处+马克思主义学院+二级学院</w:t>
            </w:r>
          </w:p>
        </w:tc>
      </w:tr>
      <w:tr>
        <w:tblPrEx>
          <w:tblCellMar>
            <w:top w:w="0" w:type="dxa"/>
            <w:left w:w="108" w:type="dxa"/>
            <w:bottom w:w="0" w:type="dxa"/>
            <w:right w:w="108" w:type="dxa"/>
          </w:tblCellMar>
        </w:tblPrEx>
        <w:trPr>
          <w:trHeight w:val="41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新时代党的创新理论学习活动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习近平新时代中国特色社会主义思想概论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学工处+马克思主义学院+二级学院</w:t>
            </w:r>
          </w:p>
        </w:tc>
      </w:tr>
      <w:tr>
        <w:tblPrEx>
          <w:tblCellMar>
            <w:top w:w="0" w:type="dxa"/>
            <w:left w:w="108" w:type="dxa"/>
            <w:bottom w:w="0" w:type="dxa"/>
            <w:right w:w="108" w:type="dxa"/>
          </w:tblCellMar>
        </w:tblPrEx>
        <w:trPr>
          <w:trHeight w:val="103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铸牢中华民族共同体意识教育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中华民族共同体概论、中国近现代史纲要、马克思主义基本原理、毛泽东思想和中国特色社会主义理论体系概论</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行为规范准则教育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校情教育与学习管理教育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励志教育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感恩教育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诚信教育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（二）“启智增知”模块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职业生涯规划大赛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大学生职业发展与就业指导</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中国国际大学生创新大赛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大学生创新与创业实务</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教务处+通识教育学院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创新创业训练营</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创客马拉松</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模拟招聘大赛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就业处+通识教育学院</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大学生演讲赛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大学语文</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经典诵读比赛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大学生辩论赛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英语口语技能赛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大学英语</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19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大学生英语竞赛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英语风采赛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阅读活动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图书馆</w:t>
            </w:r>
          </w:p>
        </w:tc>
      </w:tr>
      <w:tr>
        <w:tblPrEx>
          <w:tblCellMar>
            <w:top w:w="0" w:type="dxa"/>
            <w:left w:w="108" w:type="dxa"/>
            <w:bottom w:w="0" w:type="dxa"/>
            <w:right w:w="108" w:type="dxa"/>
          </w:tblCellMar>
        </w:tblPrEx>
        <w:trPr>
          <w:trHeight w:val="27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数学文化讲座</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经济</w:t>
            </w:r>
            <w:r>
              <w:rPr>
                <w:rFonts w:hint="eastAsia"/>
              </w:rPr>
              <w:t>数学</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高等数学</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数学建模竞赛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大学生数独竞赛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（三）“强体健心”模块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心理健康团体辅导</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大学生心理健康教育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学工处+通识学院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5.25心理健康教育活动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心理剧大赛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29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心理电影赏析</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阳光长跑</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大学体育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学工处+通识学院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气排球联赛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羽毛球联赛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篮球联赛</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广西三月三民族体育文化节</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31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田径运动会</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校田径运动会组委会+二级学院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安全教育</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大学生安全教育、</w:t>
            </w:r>
          </w:p>
        </w:tc>
        <w:tc>
          <w:tcPr>
            <w:tcW w:w="176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学工处+马克思主义学院+二级学院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国家安全教育</w:t>
            </w:r>
          </w:p>
        </w:tc>
        <w:tc>
          <w:tcPr>
            <w:tcW w:w="176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适应教育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新生入学教育</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禁毒、防艾教育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学工处+团委+二级学院</w:t>
            </w:r>
          </w:p>
        </w:tc>
      </w:tr>
      <w:tr>
        <w:tblPrEx>
          <w:tblCellMar>
            <w:top w:w="0" w:type="dxa"/>
            <w:left w:w="108" w:type="dxa"/>
            <w:bottom w:w="0" w:type="dxa"/>
            <w:right w:w="108" w:type="dxa"/>
          </w:tblCellMar>
        </w:tblPrEx>
        <w:trPr>
          <w:trHeight w:val="27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（四）“美韵育情”模块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39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中华优秀传统文化教育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中国优秀传统文化</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马克思主义学院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文明素养礼仪活动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通用礼仪</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41</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“五·四”文化艺术节系列活动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团委+二级学院</w:t>
            </w:r>
          </w:p>
        </w:tc>
      </w:tr>
      <w:tr>
        <w:tblPrEx>
          <w:tblCellMar>
            <w:top w:w="0" w:type="dxa"/>
            <w:left w:w="108" w:type="dxa"/>
            <w:bottom w:w="0" w:type="dxa"/>
            <w:right w:w="108" w:type="dxa"/>
          </w:tblCellMar>
        </w:tblPrEx>
        <w:trPr>
          <w:trHeight w:val="20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42</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“社团文化艺术节”系列活动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w:t>
            </w:r>
          </w:p>
        </w:tc>
      </w:tr>
      <w:tr>
        <w:tblPrEx>
          <w:tblCellMar>
            <w:top w:w="0" w:type="dxa"/>
            <w:left w:w="108" w:type="dxa"/>
            <w:bottom w:w="0" w:type="dxa"/>
            <w:right w:w="108" w:type="dxa"/>
          </w:tblCellMar>
        </w:tblPrEx>
        <w:trPr>
          <w:trHeight w:val="36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（五）“实践砺志”模块</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43</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劳动教育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劳动教育—工业·匠心</w:t>
            </w: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学工处+马克思主义学院+二级学院</w:t>
            </w:r>
          </w:p>
        </w:tc>
      </w:tr>
      <w:tr>
        <w:tblPrEx>
          <w:tblCellMar>
            <w:top w:w="0" w:type="dxa"/>
            <w:left w:w="108" w:type="dxa"/>
            <w:bottom w:w="0" w:type="dxa"/>
            <w:right w:w="108" w:type="dxa"/>
          </w:tblCellMar>
        </w:tblPrEx>
        <w:trPr>
          <w:trHeight w:val="269"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垃圾分类教育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后勤处+学工处+团委</w:t>
            </w:r>
          </w:p>
        </w:tc>
      </w:tr>
      <w:tr>
        <w:tblPrEx>
          <w:tblCellMar>
            <w:top w:w="0" w:type="dxa"/>
            <w:left w:w="108" w:type="dxa"/>
            <w:bottom w:w="0" w:type="dxa"/>
            <w:right w:w="108" w:type="dxa"/>
          </w:tblCellMar>
        </w:tblPrEx>
        <w:trPr>
          <w:trHeight w:val="187"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45</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科学商店进社区</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通识教育学院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假期社会实践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47</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志愿者服务</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三下乡活动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团委+二级学院</w:t>
            </w:r>
          </w:p>
        </w:tc>
      </w:tr>
      <w:tr>
        <w:tblPrEx>
          <w:tblCellMar>
            <w:top w:w="0" w:type="dxa"/>
            <w:left w:w="108" w:type="dxa"/>
            <w:bottom w:w="0" w:type="dxa"/>
            <w:right w:w="108" w:type="dxa"/>
          </w:tblCellMar>
        </w:tblPrEx>
        <w:trPr>
          <w:trHeight w:val="182"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49</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社区挂职</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团委+二级学院</w:t>
            </w:r>
          </w:p>
        </w:tc>
      </w:tr>
      <w:tr>
        <w:tblPrEx>
          <w:tblCellMar>
            <w:top w:w="0" w:type="dxa"/>
            <w:left w:w="108" w:type="dxa"/>
            <w:bottom w:w="0" w:type="dxa"/>
            <w:right w:w="108" w:type="dxa"/>
          </w:tblCellMar>
        </w:tblPrEx>
        <w:trPr>
          <w:trHeight w:val="106"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50</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新生节活动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w:t>
            </w: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219"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1761"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rPr>
              <w:t>团委+二级学院</w:t>
            </w:r>
          </w:p>
        </w:tc>
      </w:tr>
    </w:tbl>
    <w:p>
      <w:pPr>
        <w:sectPr>
          <w:pgSz w:w="16838" w:h="11906" w:orient="landscape"/>
          <w:pgMar w:top="1803" w:right="1440" w:bottom="1803" w:left="1440" w:header="851" w:footer="992" w:gutter="0"/>
          <w:pgNumType w:fmt="decimal"/>
          <w:cols w:space="0" w:num="1"/>
          <w:rtlGutter w:val="0"/>
          <w:docGrid w:type="lines" w:linePitch="319" w:charSpace="0"/>
        </w:sectPr>
      </w:pPr>
    </w:p>
    <w:p>
      <w:pPr>
        <w:pStyle w:val="2"/>
        <w:bidi w:val="0"/>
        <w:rPr>
          <w:rFonts w:hint="eastAsia"/>
          <w:lang w:val="en-US" w:eastAsia="zh-CN"/>
        </w:rPr>
      </w:pPr>
      <w:bookmarkStart w:id="57" w:name="_Toc9726"/>
      <w:r>
        <w:rPr>
          <w:rFonts w:hint="eastAsia"/>
          <w:lang w:val="en-US" w:eastAsia="zh-CN"/>
        </w:rPr>
        <w:t>（三）专业人才培养方案制定的说明</w:t>
      </w:r>
      <w:bookmarkEnd w:id="57"/>
    </w:p>
    <w:p>
      <w:pPr>
        <w:pStyle w:val="2"/>
        <w:bidi w:val="0"/>
      </w:pPr>
      <w:bookmarkStart w:id="58" w:name="_Toc17663"/>
      <w:bookmarkStart w:id="59" w:name="_Toc20198"/>
      <w:r>
        <w:rPr>
          <w:rFonts w:hint="eastAsia"/>
        </w:rPr>
        <w:t>1.专业人才培养方案制定的说明</w:t>
      </w:r>
      <w:bookmarkEnd w:id="58"/>
      <w:bookmarkEnd w:id="59"/>
    </w:p>
    <w:p>
      <w:pPr>
        <w:bidi w:val="0"/>
        <w:rPr>
          <w:rFonts w:hint="eastAsia"/>
          <w:lang w:eastAsia="zh-CN"/>
        </w:rPr>
      </w:pPr>
      <w:r>
        <w:rPr>
          <w:rFonts w:hint="eastAsia"/>
        </w:rPr>
        <w:t>通过邀请上汽通用五菱、东风柳汽等7家具有柳州产业代表性的企业专家召开专业工作分析会，归纳出装备智能化技术专业在集成设计、运行维护、设备管理、改造升级等12个典型工作任务，结合专业调研数据及结论，遵循职业教育办学的规律，校企共同制定了科学规范的人才培养方案、课程体系、专业核心课程标准</w:t>
      </w:r>
      <w:r>
        <w:rPr>
          <w:rFonts w:hint="eastAsia"/>
          <w:lang w:val="en-US" w:eastAsia="zh-CN"/>
        </w:rPr>
        <w:t>初步方案，经过多次组织专家研讨完善修订人才培养方案</w:t>
      </w:r>
      <w:r>
        <w:rPr>
          <w:rFonts w:hint="eastAsia"/>
          <w:lang w:eastAsia="zh-CN"/>
        </w:rPr>
        <w:t>，</w:t>
      </w:r>
      <w:r>
        <w:rPr>
          <w:rFonts w:hint="eastAsia"/>
          <w:lang w:val="en-US" w:eastAsia="zh-CN"/>
        </w:rPr>
        <w:t>其中</w:t>
      </w:r>
      <w:r>
        <w:rPr>
          <w:rFonts w:hint="eastAsia"/>
        </w:rPr>
        <w:t>参与</w:t>
      </w:r>
      <w:r>
        <w:rPr>
          <w:rFonts w:hint="eastAsia"/>
          <w:lang w:val="en-US" w:eastAsia="zh-CN"/>
        </w:rPr>
        <w:t>制定</w:t>
      </w:r>
      <w:r>
        <w:rPr>
          <w:rFonts w:hint="eastAsia"/>
        </w:rPr>
        <w:t>的人员</w:t>
      </w:r>
      <w:r>
        <w:rPr>
          <w:rFonts w:hint="eastAsia"/>
          <w:lang w:val="en-US" w:eastAsia="zh-CN"/>
        </w:rPr>
        <w:t>如下表</w:t>
      </w:r>
      <w:r>
        <w:rPr>
          <w:rFonts w:hint="eastAsia"/>
          <w:lang w:eastAsia="zh-CN"/>
        </w:rPr>
        <w:t>。</w:t>
      </w:r>
    </w:p>
    <w:p>
      <w:pPr>
        <w:spacing w:line="360" w:lineRule="auto"/>
        <w:ind w:firstLine="0" w:firstLineChars="0"/>
        <w:jc w:val="center"/>
        <w:rPr>
          <w:rFonts w:hint="eastAsia" w:ascii="仿宋" w:hAnsi="仿宋" w:eastAsia="仿宋"/>
          <w:b/>
          <w:color w:val="auto"/>
          <w:sz w:val="24"/>
        </w:rPr>
      </w:pPr>
      <w:r>
        <w:rPr>
          <w:rFonts w:hint="eastAsia" w:ascii="仿宋" w:hAnsi="仿宋" w:eastAsia="仿宋"/>
          <w:b/>
          <w:color w:val="auto"/>
          <w:sz w:val="24"/>
        </w:rPr>
        <w:t xml:space="preserve"> 主要制订人员</w:t>
      </w:r>
    </w:p>
    <w:tbl>
      <w:tblPr>
        <w:tblStyle w:val="15"/>
        <w:tblW w:w="87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2380"/>
        <w:gridCol w:w="3305"/>
        <w:gridCol w:w="2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shd w:val="clear" w:color="auto" w:fill="EAF1DD"/>
            <w:noWrap w:val="0"/>
            <w:vAlign w:val="center"/>
          </w:tcPr>
          <w:p>
            <w:pPr>
              <w:pStyle w:val="52"/>
              <w:keepNext w:val="0"/>
              <w:keepLines w:val="0"/>
              <w:suppressLineNumbers w:val="0"/>
              <w:bidi w:val="0"/>
              <w:spacing w:before="0" w:beforeAutospacing="0" w:after="0" w:afterAutospacing="0"/>
              <w:ind w:left="0" w:right="0"/>
            </w:pPr>
            <w:r>
              <w:rPr>
                <w:rFonts w:hint="eastAsia"/>
              </w:rPr>
              <w:t>序号</w:t>
            </w:r>
          </w:p>
        </w:tc>
        <w:tc>
          <w:tcPr>
            <w:tcW w:w="2380" w:type="dxa"/>
            <w:shd w:val="clear" w:color="auto" w:fill="EAF1DD"/>
            <w:noWrap w:val="0"/>
            <w:vAlign w:val="center"/>
          </w:tcPr>
          <w:p>
            <w:pPr>
              <w:pStyle w:val="52"/>
              <w:keepNext w:val="0"/>
              <w:keepLines w:val="0"/>
              <w:suppressLineNumbers w:val="0"/>
              <w:bidi w:val="0"/>
              <w:spacing w:before="0" w:beforeAutospacing="0" w:after="0" w:afterAutospacing="0"/>
              <w:ind w:left="0" w:right="0"/>
            </w:pPr>
            <w:r>
              <w:rPr>
                <w:rFonts w:hint="eastAsia"/>
              </w:rPr>
              <w:t>制订人员及职务</w:t>
            </w:r>
          </w:p>
        </w:tc>
        <w:tc>
          <w:tcPr>
            <w:tcW w:w="3305" w:type="dxa"/>
            <w:shd w:val="clear" w:color="auto" w:fill="EAF1DD"/>
            <w:noWrap w:val="0"/>
            <w:vAlign w:val="center"/>
          </w:tcPr>
          <w:p>
            <w:pPr>
              <w:pStyle w:val="52"/>
              <w:keepNext w:val="0"/>
              <w:keepLines w:val="0"/>
              <w:suppressLineNumbers w:val="0"/>
              <w:bidi w:val="0"/>
              <w:spacing w:before="0" w:beforeAutospacing="0" w:after="0" w:afterAutospacing="0"/>
              <w:ind w:left="0" w:right="0"/>
            </w:pPr>
            <w:r>
              <w:rPr>
                <w:rFonts w:hint="eastAsia"/>
              </w:rPr>
              <w:t>工作单位</w:t>
            </w:r>
          </w:p>
        </w:tc>
        <w:tc>
          <w:tcPr>
            <w:tcW w:w="2465" w:type="dxa"/>
            <w:shd w:val="clear" w:color="auto" w:fill="EAF1DD"/>
            <w:noWrap w:val="0"/>
            <w:vAlign w:val="center"/>
          </w:tcPr>
          <w:p>
            <w:pPr>
              <w:pStyle w:val="52"/>
              <w:keepNext w:val="0"/>
              <w:keepLines w:val="0"/>
              <w:suppressLineNumbers w:val="0"/>
              <w:bidi w:val="0"/>
              <w:spacing w:before="0" w:beforeAutospacing="0" w:after="0" w:afterAutospacing="0"/>
              <w:ind w:left="0" w:right="0"/>
              <w:rPr>
                <w:rFonts w:hint="eastAsia"/>
              </w:rPr>
            </w:pPr>
            <w:r>
              <w:rPr>
                <w:rFonts w:hint="eastAsia"/>
              </w:rPr>
              <w:t>技术领域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rPr>
            </w:pPr>
            <w:r>
              <w:rPr>
                <w:rFonts w:hint="default"/>
              </w:rPr>
              <w:t>1</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甘达淅</w:t>
            </w:r>
            <w:r>
              <w:rPr>
                <w:rFonts w:hint="default"/>
              </w:rPr>
              <w:t>（教授）</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数控自动化生产线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rPr>
            </w:pPr>
            <w:r>
              <w:rPr>
                <w:rFonts w:hint="default"/>
              </w:rPr>
              <w:t>2</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关来德</w:t>
            </w:r>
            <w:r>
              <w:rPr>
                <w:rFonts w:hint="default"/>
              </w:rPr>
              <w:t>（副教授）</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数字孪生技术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rPr>
            </w:pPr>
            <w:r>
              <w:rPr>
                <w:rFonts w:hint="default"/>
              </w:rPr>
              <w:t>3</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甘霖</w:t>
            </w:r>
            <w:r>
              <w:rPr>
                <w:rFonts w:hint="default"/>
              </w:rPr>
              <w:t>（副教授）</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工业机器人技术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rPr>
            </w:pPr>
            <w:r>
              <w:rPr>
                <w:rFonts w:hint="eastAsia"/>
              </w:rPr>
              <w:t>4</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陈胜裕</w:t>
            </w:r>
            <w:r>
              <w:rPr>
                <w:rFonts w:hint="default"/>
              </w:rPr>
              <w:t>（教授）</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数控机床维修技术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rPr>
            </w:pPr>
            <w:r>
              <w:rPr>
                <w:rFonts w:hint="eastAsia"/>
              </w:rPr>
              <w:t>5</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温俊霞（副研究员）</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机器人焊接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rPr>
            </w:pPr>
            <w:r>
              <w:rPr>
                <w:rFonts w:hint="eastAsia"/>
              </w:rPr>
              <w:t>6</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邓其贵</w:t>
            </w:r>
            <w:r>
              <w:rPr>
                <w:rFonts w:hint="default"/>
              </w:rPr>
              <w:t>（教授）</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自动化生产线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7</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陈超山</w:t>
            </w:r>
            <w:r>
              <w:rPr>
                <w:rFonts w:hint="default"/>
              </w:rPr>
              <w:t>（副教授）</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eastAsia="仿宋"/>
                <w:lang w:val="en-US" w:eastAsia="zh-CN"/>
              </w:rPr>
            </w:pPr>
            <w:r>
              <w:rPr>
                <w:rFonts w:hint="eastAsia"/>
                <w:lang w:eastAsia="zh-CN"/>
              </w:rPr>
              <w:t>柳州职业技术大学</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rPr>
            </w:pPr>
            <w:r>
              <w:rPr>
                <w:rFonts w:hint="eastAsia"/>
                <w:lang w:val="en-US" w:eastAsia="zh-CN"/>
              </w:rPr>
              <w:t>数控系统维护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8</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吴碧武</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东风柳州汽车有限公司</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生产线升级改造技术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9</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魏林柳</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广西汽车集团五菱工业公司</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工厂信息化管理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10</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李开华</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东风柳州汽车有限公司</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生产线自动化技术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11</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韦业忠</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上汽通用五菱汽车股份有限公司</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设备维修管理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eastAsia"/>
                <w:lang w:val="en-US" w:eastAsia="zh-CN"/>
              </w:rPr>
            </w:pPr>
            <w:r>
              <w:rPr>
                <w:rFonts w:hint="eastAsia"/>
                <w:lang w:val="en-US" w:eastAsia="zh-CN"/>
              </w:rPr>
              <w:t>12</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赵晓雷</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广西中烟工业</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设备维修管理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562"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13</w:t>
            </w:r>
          </w:p>
        </w:tc>
        <w:tc>
          <w:tcPr>
            <w:tcW w:w="2380"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房华伟</w:t>
            </w:r>
          </w:p>
        </w:tc>
        <w:tc>
          <w:tcPr>
            <w:tcW w:w="330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广西中烟工业</w:t>
            </w:r>
          </w:p>
        </w:tc>
        <w:tc>
          <w:tcPr>
            <w:tcW w:w="2465" w:type="dxa"/>
            <w:noWrap w:val="0"/>
            <w:vAlign w:val="center"/>
          </w:tcPr>
          <w:p>
            <w:pPr>
              <w:pStyle w:val="48"/>
              <w:keepNext w:val="0"/>
              <w:keepLines w:val="0"/>
              <w:suppressLineNumbers w:val="0"/>
              <w:bidi w:val="0"/>
              <w:spacing w:before="0" w:beforeAutospacing="0" w:after="0" w:afterAutospacing="0"/>
              <w:ind w:left="0" w:right="0"/>
              <w:rPr>
                <w:rFonts w:hint="default"/>
                <w:lang w:val="en-US" w:eastAsia="zh-CN"/>
              </w:rPr>
            </w:pPr>
            <w:r>
              <w:rPr>
                <w:rFonts w:hint="eastAsia"/>
                <w:lang w:val="en-US" w:eastAsia="zh-CN"/>
              </w:rPr>
              <w:t>数字孪生技术</w:t>
            </w:r>
          </w:p>
        </w:tc>
      </w:tr>
    </w:tbl>
    <w:p>
      <w:pPr>
        <w:bidi w:val="0"/>
      </w:pPr>
    </w:p>
    <w:p>
      <w:pPr>
        <w:pStyle w:val="2"/>
        <w:bidi w:val="0"/>
        <w:rPr>
          <w:rFonts w:hint="eastAsia"/>
          <w:lang w:val="en-US" w:eastAsia="zh-CN"/>
        </w:rPr>
      </w:pPr>
      <w:bookmarkStart w:id="60" w:name="_Toc1106"/>
      <w:r>
        <w:rPr>
          <w:rFonts w:hint="eastAsia"/>
          <w:lang w:val="en-US" w:eastAsia="zh-CN"/>
        </w:rPr>
        <w:t>（四）专业对应的职业/岗位分析</w:t>
      </w:r>
      <w:bookmarkEnd w:id="60"/>
    </w:p>
    <w:p>
      <w:pPr>
        <w:keepNext w:val="0"/>
        <w:keepLines w:val="0"/>
        <w:widowControl/>
        <w:suppressLineNumbers w:val="0"/>
        <w:ind w:firstLine="560" w:firstLineChars="200"/>
        <w:jc w:val="left"/>
        <w:textAlignment w:val="center"/>
        <w:rPr>
          <w:rFonts w:hint="eastAsia" w:ascii="仿宋" w:hAnsi="仿宋" w:eastAsia="仿宋" w:cs="仿宋"/>
          <w:color w:val="auto"/>
          <w:sz w:val="28"/>
          <w:szCs w:val="28"/>
        </w:rPr>
      </w:pPr>
      <w:r>
        <w:rPr>
          <w:rFonts w:hint="eastAsia" w:ascii="仿宋" w:hAnsi="仿宋" w:eastAsia="仿宋" w:cs="仿宋"/>
          <w:color w:val="auto"/>
          <w:sz w:val="28"/>
          <w:szCs w:val="28"/>
        </w:rPr>
        <w:t>结合企业调研、院校同行调研、网络调研以及</w:t>
      </w:r>
      <w:r>
        <w:rPr>
          <w:rFonts w:hint="eastAsia" w:ascii="仿宋" w:hAnsi="仿宋" w:eastAsia="仿宋" w:cs="仿宋"/>
          <w:color w:val="auto"/>
          <w:sz w:val="28"/>
          <w:szCs w:val="28"/>
          <w:lang w:val="en-US" w:eastAsia="zh-CN"/>
        </w:rPr>
        <w:t>企业专家</w:t>
      </w:r>
      <w:r>
        <w:rPr>
          <w:rFonts w:hint="eastAsia" w:ascii="仿宋" w:hAnsi="仿宋" w:eastAsia="仿宋" w:cs="仿宋"/>
          <w:color w:val="auto"/>
          <w:sz w:val="28"/>
          <w:szCs w:val="28"/>
        </w:rPr>
        <w:t>工作任务分析会</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总结装备智能化技术</w:t>
      </w:r>
      <w:r>
        <w:rPr>
          <w:rFonts w:hint="eastAsia" w:ascii="仿宋" w:hAnsi="仿宋" w:eastAsia="仿宋" w:cs="仿宋"/>
          <w:color w:val="auto"/>
          <w:sz w:val="28"/>
          <w:szCs w:val="28"/>
        </w:rPr>
        <w:t>专业对应</w:t>
      </w:r>
      <w:r>
        <w:rPr>
          <w:rFonts w:hint="eastAsia" w:ascii="仿宋" w:hAnsi="仿宋" w:eastAsia="仿宋" w:cs="仿宋"/>
          <w:color w:val="auto"/>
          <w:sz w:val="28"/>
          <w:szCs w:val="28"/>
          <w:lang w:val="en-US" w:eastAsia="zh-CN"/>
        </w:rPr>
        <w:t>装备研发工程师</w:t>
      </w:r>
      <w:r>
        <w:rPr>
          <w:rFonts w:hint="eastAsia" w:ascii="仿宋" w:hAnsi="仿宋" w:eastAsia="仿宋" w:cs="仿宋"/>
          <w:color w:val="auto"/>
          <w:sz w:val="28"/>
          <w:szCs w:val="28"/>
          <w:lang w:eastAsia="zh-CN"/>
        </w:rPr>
        <w:t>、装备工艺工程师、</w:t>
      </w:r>
      <w:r>
        <w:rPr>
          <w:rFonts w:hint="eastAsia" w:ascii="仿宋" w:hAnsi="仿宋" w:eastAsia="仿宋" w:cs="仿宋"/>
          <w:color w:val="auto"/>
          <w:sz w:val="28"/>
          <w:szCs w:val="28"/>
          <w:lang w:val="en-US" w:eastAsia="zh-CN"/>
        </w:rPr>
        <w:t>装备智能化改造工程师、设备维保工程师、设备管理工程师等5</w:t>
      </w:r>
      <w:r>
        <w:rPr>
          <w:rFonts w:hint="eastAsia" w:ascii="仿宋" w:hAnsi="仿宋" w:eastAsia="仿宋" w:cs="仿宋"/>
          <w:color w:val="auto"/>
          <w:sz w:val="28"/>
          <w:szCs w:val="28"/>
        </w:rPr>
        <w:t>大职业</w:t>
      </w:r>
      <w:r>
        <w:rPr>
          <w:rFonts w:hint="eastAsia" w:ascii="仿宋" w:hAnsi="仿宋" w:eastAsia="仿宋" w:cs="仿宋"/>
          <w:color w:val="auto"/>
          <w:sz w:val="28"/>
          <w:szCs w:val="28"/>
          <w:lang w:val="en-US" w:eastAsia="zh-CN"/>
        </w:rPr>
        <w:t>岗位，并分析出岗位典型工作任务，</w:t>
      </w:r>
      <w:r>
        <w:rPr>
          <w:rFonts w:hint="eastAsia" w:ascii="仿宋" w:hAnsi="仿宋" w:eastAsia="仿宋" w:cs="仿宋"/>
          <w:color w:val="auto"/>
          <w:sz w:val="28"/>
          <w:szCs w:val="28"/>
        </w:rPr>
        <w:t>结合本专业</w:t>
      </w:r>
      <w:r>
        <w:rPr>
          <w:rFonts w:hint="eastAsia" w:ascii="仿宋" w:hAnsi="仿宋" w:eastAsia="仿宋" w:cs="仿宋"/>
          <w:color w:val="auto"/>
          <w:sz w:val="28"/>
          <w:szCs w:val="28"/>
          <w:lang w:val="en-US" w:eastAsia="zh-CN"/>
        </w:rPr>
        <w:t>培养目标</w:t>
      </w:r>
      <w:r>
        <w:rPr>
          <w:rFonts w:hint="eastAsia" w:ascii="仿宋" w:hAnsi="仿宋" w:eastAsia="仿宋" w:cs="仿宋"/>
          <w:color w:val="auto"/>
          <w:sz w:val="28"/>
          <w:szCs w:val="28"/>
        </w:rPr>
        <w:t>定位，筛选出</w:t>
      </w:r>
      <w:r>
        <w:rPr>
          <w:rFonts w:hint="eastAsia" w:ascii="仿宋" w:hAnsi="仿宋" w:eastAsia="仿宋" w:cs="仿宋"/>
          <w:color w:val="auto"/>
          <w:sz w:val="28"/>
          <w:szCs w:val="28"/>
          <w:lang w:val="en-US" w:eastAsia="zh-CN"/>
        </w:rPr>
        <w:t>装备研发工程师、装备智能化改造工程师、设备管理工程师作为本专业重点培养岗位</w:t>
      </w:r>
      <w:r>
        <w:rPr>
          <w:rFonts w:hint="eastAsia" w:ascii="仿宋" w:hAnsi="仿宋" w:eastAsia="仿宋" w:cs="仿宋"/>
          <w:color w:val="auto"/>
          <w:sz w:val="28"/>
          <w:szCs w:val="28"/>
        </w:rPr>
        <w:t>。</w:t>
      </w:r>
    </w:p>
    <w:p>
      <w:pPr>
        <w:pStyle w:val="50"/>
        <w:bidi w:val="0"/>
        <w:rPr>
          <w:rFonts w:hint="default"/>
          <w:lang w:val="en-US" w:eastAsia="zh-CN"/>
        </w:rPr>
      </w:pPr>
      <w:r>
        <w:rPr>
          <w:rFonts w:hint="eastAsia"/>
          <w:lang w:val="en-US" w:eastAsia="zh-CN"/>
        </w:rPr>
        <w:t>装备智能化技术专业职业能力需求</w:t>
      </w:r>
    </w:p>
    <w:tbl>
      <w:tblPr>
        <w:tblStyle w:val="15"/>
        <w:tblpPr w:leftFromText="181" w:rightFromText="181" w:vertAnchor="text" w:horzAnchor="page" w:tblpX="1486" w:tblpY="1"/>
        <w:tblOverlap w:val="never"/>
        <w:tblW w:w="954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0"/>
        <w:gridCol w:w="1380"/>
        <w:gridCol w:w="2760"/>
        <w:gridCol w:w="480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4" w:hRule="atLeast"/>
        </w:trPr>
        <w:tc>
          <w:tcPr>
            <w:tcW w:w="600" w:type="dxa"/>
            <w:tcBorders>
              <w:top w:val="single" w:color="000000" w:sz="8" w:space="0"/>
              <w:left w:val="single" w:color="000000" w:sz="8" w:space="0"/>
              <w:bottom w:val="single" w:color="000000" w:sz="4" w:space="0"/>
              <w:right w:val="single" w:color="000000" w:sz="4" w:space="0"/>
            </w:tcBorders>
            <w:shd w:val="clear" w:color="auto" w:fill="auto"/>
            <w:noWrap/>
            <w:vAlign w:val="center"/>
          </w:tcPr>
          <w:p>
            <w:pPr>
              <w:pStyle w:val="47"/>
              <w:bidi w:val="0"/>
              <w:rPr>
                <w:rFonts w:hint="eastAsia"/>
              </w:rPr>
            </w:pPr>
            <w:r>
              <w:rPr>
                <w:rFonts w:hint="eastAsia"/>
                <w:lang w:val="en-US" w:eastAsia="zh-CN"/>
              </w:rPr>
              <w:t>序号</w:t>
            </w:r>
          </w:p>
        </w:tc>
        <w:tc>
          <w:tcPr>
            <w:tcW w:w="1380" w:type="dxa"/>
            <w:tcBorders>
              <w:top w:val="single" w:color="000000" w:sz="8" w:space="0"/>
              <w:left w:val="single" w:color="000000" w:sz="4" w:space="0"/>
              <w:bottom w:val="single" w:color="000000" w:sz="4" w:space="0"/>
              <w:right w:val="single" w:color="000000" w:sz="4" w:space="0"/>
            </w:tcBorders>
            <w:shd w:val="clear" w:color="auto" w:fill="auto"/>
            <w:vAlign w:val="center"/>
          </w:tcPr>
          <w:p>
            <w:pPr>
              <w:pStyle w:val="47"/>
              <w:bidi w:val="0"/>
              <w:rPr>
                <w:rFonts w:hint="eastAsia"/>
              </w:rPr>
            </w:pPr>
            <w:r>
              <w:rPr>
                <w:rFonts w:hint="eastAsia"/>
                <w:lang w:val="en-US" w:eastAsia="zh-CN"/>
              </w:rPr>
              <w:t xml:space="preserve"> 工作领域 </w:t>
            </w:r>
          </w:p>
        </w:tc>
        <w:tc>
          <w:tcPr>
            <w:tcW w:w="2760" w:type="dxa"/>
            <w:tcBorders>
              <w:top w:val="single" w:color="000000" w:sz="8" w:space="0"/>
              <w:left w:val="single" w:color="000000" w:sz="4" w:space="0"/>
              <w:bottom w:val="single" w:color="000000" w:sz="4" w:space="0"/>
              <w:right w:val="nil"/>
            </w:tcBorders>
            <w:shd w:val="clear" w:color="auto" w:fill="auto"/>
            <w:vAlign w:val="center"/>
          </w:tcPr>
          <w:p>
            <w:pPr>
              <w:pStyle w:val="47"/>
              <w:bidi w:val="0"/>
              <w:rPr>
                <w:rFonts w:hint="eastAsia"/>
              </w:rPr>
            </w:pPr>
            <w:r>
              <w:rPr>
                <w:rFonts w:hint="eastAsia"/>
                <w:lang w:val="en-US" w:eastAsia="zh-CN"/>
              </w:rPr>
              <w:t>典型工作任务</w:t>
            </w:r>
          </w:p>
        </w:tc>
        <w:tc>
          <w:tcPr>
            <w:tcW w:w="4800" w:type="dxa"/>
            <w:tcBorders>
              <w:top w:val="single" w:color="000000" w:sz="8" w:space="0"/>
              <w:left w:val="single" w:color="000000" w:sz="4" w:space="0"/>
              <w:bottom w:val="single" w:color="000000" w:sz="4" w:space="0"/>
              <w:right w:val="single" w:color="000000" w:sz="8" w:space="0"/>
            </w:tcBorders>
            <w:shd w:val="clear" w:color="auto" w:fill="auto"/>
            <w:vAlign w:val="center"/>
          </w:tcPr>
          <w:p>
            <w:pPr>
              <w:pStyle w:val="47"/>
              <w:bidi w:val="0"/>
              <w:rPr>
                <w:rFonts w:hint="eastAsia"/>
              </w:rPr>
            </w:pPr>
            <w:r>
              <w:rPr>
                <w:rFonts w:hint="eastAsia"/>
                <w:lang w:val="en-US" w:eastAsia="zh-CN"/>
              </w:rPr>
              <w:t xml:space="preserve">职业能力要求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restart"/>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1</w:t>
            </w:r>
          </w:p>
        </w:tc>
        <w:tc>
          <w:tcPr>
            <w:tcW w:w="13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装备研发工程师</w:t>
            </w: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1-1 客户需求分析 功能需求确认 可行性分析 解决方案 成本分析与核算</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1-1-1良好的沟通及自动化理解能力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auto" w:sz="4" w:space="0"/>
              <w:right w:val="single" w:color="000000" w:sz="8" w:space="0"/>
            </w:tcBorders>
            <w:shd w:val="clear" w:color="auto" w:fill="auto"/>
            <w:vAlign w:val="center"/>
          </w:tcPr>
          <w:p>
            <w:pPr>
              <w:pStyle w:val="48"/>
              <w:bidi w:val="0"/>
              <w:rPr>
                <w:rFonts w:hint="eastAsia"/>
              </w:rPr>
            </w:pPr>
            <w:r>
              <w:rPr>
                <w:rFonts w:hint="eastAsia"/>
                <w:lang w:val="en-US" w:eastAsia="zh-CN"/>
              </w:rPr>
              <w:t>1-1-2装备专业分析判断与决策能力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 机械系统设计 非机械设计 设备设计 设备结构开发 装备设计 设备机构应用结构设计 试验论证  机械结构设计 执行机构可靠 装备方案构造</w:t>
            </w: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1-2-1公差与配合知识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1-2-2机械工程技术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1-2-3气液压控制及传动技术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1-2-4常用材料知识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1-2-5识图制图能力（3D制图、CAD制图）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1-2-6机械加工、装配工艺知识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1-2-7传动机构设计，三维建模及运动仿真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 电气系统设计  控制单元选型</w:t>
            </w: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1-3-1单片机技术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1-3-2电工基础知识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1-3-3 PLC编程知识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1-3-4电气自控技术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1-3-5工业网络通讯技术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1-3-6传感器、执行器技术应用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1-3-7机器人应用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1-3-8自动控制原理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1-3-9电力拖动控制基础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1-3-10电气工程师职称，可以独立设计系统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1-4 信息系统设计 智能系统开发 设备信息智能接口设计</w:t>
            </w: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1-4-1人机界面设计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1-4-2网络通讯技术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1-4-3信息化项目管理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1-4-4计算机编程语言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pStyle w:val="48"/>
              <w:bidi w:val="0"/>
              <w:rPr>
                <w:rFonts w:hint="eastAsia"/>
              </w:rPr>
            </w:pPr>
          </w:p>
        </w:tc>
        <w:tc>
          <w:tcPr>
            <w:tcW w:w="276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p>
        </w:tc>
        <w:tc>
          <w:tcPr>
            <w:tcW w:w="480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48"/>
              <w:bidi w:val="0"/>
              <w:rPr>
                <w:rFonts w:hint="eastAsia"/>
              </w:rPr>
            </w:pPr>
            <w:r>
              <w:rPr>
                <w:rFonts w:hint="eastAsia"/>
                <w:lang w:val="en-US" w:eastAsia="zh-CN"/>
              </w:rPr>
              <w:t>1-4-5 熟悉MES技术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1-5功能仿真验证</w:t>
            </w:r>
          </w:p>
        </w:tc>
        <w:tc>
          <w:tcPr>
            <w:tcW w:w="4800" w:type="dxa"/>
            <w:tcBorders>
              <w:top w:val="single" w:color="auto"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1-5-1具备较强的装备软件应用技术，熟悉设备工艺流程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1-5-2 CAD仿真软件技术应用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nil"/>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1-5-3掌握虚拟仿真技术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restart"/>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rPr>
            </w:pPr>
            <w:r>
              <w:rPr>
                <w:rFonts w:hint="eastAsia"/>
                <w:lang w:val="en-US" w:eastAsia="zh-CN"/>
              </w:rPr>
              <w:t>2</w:t>
            </w:r>
          </w:p>
        </w:tc>
        <w:tc>
          <w:tcPr>
            <w:tcW w:w="13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r>
              <w:rPr>
                <w:rFonts w:hint="eastAsia"/>
                <w:lang w:val="en-US" w:eastAsia="zh-CN"/>
              </w:rPr>
              <w:t>装备工艺</w:t>
            </w:r>
          </w:p>
          <w:p>
            <w:pPr>
              <w:pStyle w:val="48"/>
              <w:bidi w:val="0"/>
              <w:rPr>
                <w:rFonts w:hint="eastAsia"/>
              </w:rPr>
            </w:pPr>
            <w:r>
              <w:rPr>
                <w:rFonts w:hint="eastAsia"/>
                <w:lang w:val="en-US" w:eastAsia="zh-CN"/>
              </w:rPr>
              <w:t>工程师</w:t>
            </w: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 xml:space="preserve">2-1 工艺分析与优化   </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2-1-1 思维导图分析软件应用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2-1-2掌握装备工艺原理，熟悉工艺规范，对设备有较强的分析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2-1-3会使用三维CAD软件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2-1-4工业流程优化技术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2-2 工艺参数确定</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2-2-1 具备专业技术，对工艺有较强的分析、判断及决策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2-2-2部件原理结构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2-2-3工艺控制理论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tcBorders>
              <w:top w:val="single" w:color="000000" w:sz="4" w:space="0"/>
              <w:left w:val="single" w:color="000000" w:sz="4" w:space="0"/>
              <w:bottom w:val="single" w:color="000000" w:sz="4" w:space="0"/>
              <w:right w:val="nil"/>
            </w:tcBorders>
            <w:shd w:val="clear" w:color="auto" w:fill="auto"/>
            <w:vAlign w:val="center"/>
          </w:tcPr>
          <w:p>
            <w:pPr>
              <w:pStyle w:val="48"/>
              <w:bidi w:val="0"/>
              <w:rPr>
                <w:rFonts w:hint="eastAsia"/>
              </w:rPr>
            </w:pPr>
            <w:r>
              <w:rPr>
                <w:rFonts w:hint="eastAsia"/>
                <w:lang w:val="en-US" w:eastAsia="zh-CN"/>
              </w:rPr>
              <w:t>2-3 技术工艺路线</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2-3-1设备模拟仿真软件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2-4 设备工艺验证</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2-4-1会使用检测工具（精度测量工具）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2-4-2会使用检验设备（三坐标测量仪）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7"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2-4-3掌握相关装备知识，能够对仿真软件应用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lang w:val="en-US"/>
              </w:rPr>
            </w:pPr>
            <w:r>
              <w:rPr>
                <w:rFonts w:hint="eastAsia"/>
                <w:lang w:val="en-US" w:eastAsia="zh-CN"/>
              </w:rPr>
              <w:t>2-5工艺优化</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2-5-1产品追踪系统开发与应用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2-5-2较强的工艺信息知识，能制定措施和提升工艺优化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1" w:hRule="atLeast"/>
        </w:trPr>
        <w:tc>
          <w:tcPr>
            <w:tcW w:w="600" w:type="dxa"/>
            <w:vMerge w:val="restart"/>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r>
              <w:rPr>
                <w:rFonts w:hint="eastAsia"/>
                <w:lang w:val="en-US" w:eastAsia="zh-CN"/>
              </w:rPr>
              <w:t>3</w:t>
            </w:r>
          </w:p>
        </w:tc>
        <w:tc>
          <w:tcPr>
            <w:tcW w:w="13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装备智能化改造工程师</w:t>
            </w: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3-1 功能集成分析</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3-1-1伺服控制，PLC网络组态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7"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3-1-2了解产品制造工艺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3"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3-1-3网络计算机通讯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3"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3-1-4计算机软件（数据库）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3-1-5计算机绘图软件（Eplan）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3-2装备集成方案制定</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3-2-1电工基础、机械原理、机电布局构建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3-2-2机电技术应用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3-2-3模拟量信号处理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3-3集成与改造方案设计</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3-3-1机电软件应用（UG、CAD、PLC软件编程）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3-3-2CAD辅助开发制图软件应用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3-3-3PLC、机器人、HMI应用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3-3-4电气元件基本功能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3-3-5机器人调试、伺服电机运动控制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3-3-6数控、PLC知识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3-4装备集成调试</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3-4-1 通信协议知识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3-4-2 工业现场总线</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3-4-3 PLC技术应用、电控技术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restart"/>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rPr>
            </w:pPr>
            <w:r>
              <w:rPr>
                <w:rFonts w:hint="eastAsia"/>
                <w:lang w:val="en-US" w:eastAsia="zh-CN"/>
              </w:rPr>
              <w:t>4</w:t>
            </w:r>
          </w:p>
        </w:tc>
        <w:tc>
          <w:tcPr>
            <w:tcW w:w="13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p>
          <w:p>
            <w:pPr>
              <w:pStyle w:val="48"/>
              <w:bidi w:val="0"/>
              <w:rPr>
                <w:rFonts w:hint="eastAsia"/>
                <w:lang w:val="en-US" w:eastAsia="zh-CN"/>
              </w:rPr>
            </w:pPr>
            <w:r>
              <w:rPr>
                <w:rFonts w:hint="eastAsia"/>
                <w:lang w:val="en-US" w:eastAsia="zh-CN"/>
              </w:rPr>
              <w:t>设备维保</w:t>
            </w:r>
          </w:p>
          <w:p>
            <w:pPr>
              <w:pStyle w:val="48"/>
              <w:bidi w:val="0"/>
              <w:rPr>
                <w:rFonts w:hint="eastAsia"/>
              </w:rPr>
            </w:pPr>
            <w:r>
              <w:rPr>
                <w:rFonts w:hint="eastAsia"/>
                <w:lang w:val="en-US" w:eastAsia="zh-CN"/>
              </w:rPr>
              <w:t>工程师</w:t>
            </w: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4-1维修技术分析支持</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4-1-1 设备原理 液压、气动原理 控制技术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4-1-2 模拟电路技术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4-1-3数字电路技术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4-1-4数控维修技术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4-1-5机器人应用技术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4-1-6PLC控制技术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4-1-7 变频器技术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4-1-8PLC在线诊断及逻辑分析能力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4-1-9 自动控制原理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4-2 装备保养维护执行</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4-2-1 机械结构原理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4-2-2 CAD制图能力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4-2-3 UG制图能力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4-2-4 气动、液压应用能力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4-2-5 电工基础操作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4-2-6 设备结构与维护技术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4-3 设备安装集成</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4-3-1 机器人技术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4-3-2 EPLAN电气制图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4-4 设备调试</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4-4-1 工业网络通讯技术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4-4-2 调试软件的应用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4-4-3 加工产品的质量要求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4-4-4 会使用示波器、信号分析仪等检测仪器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4"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2760" w:type="dxa"/>
            <w:tcBorders>
              <w:top w:val="single" w:color="000000" w:sz="4" w:space="0"/>
              <w:left w:val="single" w:color="000000" w:sz="4" w:space="0"/>
              <w:bottom w:val="single" w:color="000000" w:sz="4" w:space="0"/>
              <w:right w:val="nil"/>
            </w:tcBorders>
            <w:shd w:val="clear" w:color="auto" w:fill="auto"/>
            <w:vAlign w:val="center"/>
          </w:tcPr>
          <w:p>
            <w:pPr>
              <w:pStyle w:val="48"/>
              <w:bidi w:val="0"/>
              <w:rPr>
                <w:rFonts w:hint="eastAsia"/>
              </w:rPr>
            </w:pPr>
            <w:r>
              <w:rPr>
                <w:rFonts w:hint="eastAsia"/>
                <w:lang w:val="en-US" w:eastAsia="zh-CN"/>
              </w:rPr>
              <w:t>4-5 装备提升改善</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4-5-1TPM理论知识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restart"/>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r>
              <w:rPr>
                <w:rFonts w:hint="eastAsia"/>
                <w:lang w:val="en-US" w:eastAsia="zh-CN"/>
              </w:rPr>
              <w:t>5</w:t>
            </w:r>
          </w:p>
        </w:tc>
        <w:tc>
          <w:tcPr>
            <w:tcW w:w="1380" w:type="dxa"/>
            <w:vMerge w:val="restart"/>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r>
              <w:rPr>
                <w:rFonts w:hint="eastAsia"/>
                <w:lang w:val="en-US" w:eastAsia="zh-CN"/>
              </w:rPr>
              <w:t>设备管理工程师</w:t>
            </w: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5-1 预防维护</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5-1-1检修技术应用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5-1-2 振动仪应用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5-1-3 热成像仪应用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5-1-4 数据分析挖掘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r>
              <w:rPr>
                <w:rFonts w:hint="eastAsia"/>
                <w:lang w:val="en-US" w:eastAsia="zh-CN"/>
              </w:rPr>
              <w:t>5-2 制定维保计划</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5-2-1 润滑油品的使用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5-2-2 office应用能力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5-2-3 了解设备保养要求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pStyle w:val="48"/>
              <w:bidi w:val="0"/>
              <w:rPr>
                <w:rFonts w:hint="eastAsia"/>
              </w:rPr>
            </w:pP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5-2-4 日程辅助管理软件技术应用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tcBorders>
              <w:top w:val="single" w:color="000000" w:sz="4" w:space="0"/>
              <w:left w:val="single" w:color="000000" w:sz="4" w:space="0"/>
              <w:bottom w:val="single" w:color="000000" w:sz="4" w:space="0"/>
              <w:right w:val="nil"/>
            </w:tcBorders>
            <w:shd w:val="clear" w:color="auto" w:fill="auto"/>
            <w:vAlign w:val="center"/>
          </w:tcPr>
          <w:p>
            <w:pPr>
              <w:pStyle w:val="48"/>
              <w:bidi w:val="0"/>
              <w:rPr>
                <w:rFonts w:hint="eastAsia"/>
              </w:rPr>
            </w:pPr>
            <w:r>
              <w:rPr>
                <w:rFonts w:hint="eastAsia"/>
                <w:lang w:val="en-US" w:eastAsia="zh-CN"/>
              </w:rPr>
              <w:t>5-3 大修计划制定</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5-3-1 标准操作步骤编写</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tcBorders>
              <w:top w:val="single" w:color="000000" w:sz="4" w:space="0"/>
              <w:left w:val="single" w:color="000000" w:sz="4" w:space="0"/>
              <w:bottom w:val="single" w:color="000000" w:sz="4" w:space="0"/>
              <w:right w:val="nil"/>
            </w:tcBorders>
            <w:shd w:val="clear" w:color="auto" w:fill="auto"/>
            <w:vAlign w:val="center"/>
          </w:tcPr>
          <w:p>
            <w:pPr>
              <w:pStyle w:val="48"/>
              <w:bidi w:val="0"/>
              <w:rPr>
                <w:rFonts w:hint="eastAsia"/>
              </w:rPr>
            </w:pPr>
            <w:r>
              <w:rPr>
                <w:rFonts w:hint="eastAsia"/>
                <w:lang w:val="en-US" w:eastAsia="zh-CN"/>
              </w:rPr>
              <w:t>5-4 装备技术资料管理</w:t>
            </w:r>
          </w:p>
        </w:tc>
        <w:tc>
          <w:tcPr>
            <w:tcW w:w="4800" w:type="dxa"/>
            <w:tcBorders>
              <w:top w:val="single" w:color="000000" w:sz="4" w:space="0"/>
              <w:left w:val="single" w:color="000000" w:sz="4" w:space="0"/>
              <w:bottom w:val="single" w:color="000000" w:sz="4" w:space="0"/>
              <w:right w:val="single" w:color="000000" w:sz="8" w:space="0"/>
            </w:tcBorders>
            <w:shd w:val="clear" w:color="auto" w:fill="auto"/>
            <w:vAlign w:val="center"/>
          </w:tcPr>
          <w:p>
            <w:pPr>
              <w:pStyle w:val="48"/>
              <w:bidi w:val="0"/>
              <w:rPr>
                <w:rFonts w:hint="eastAsia"/>
              </w:rPr>
            </w:pPr>
            <w:r>
              <w:rPr>
                <w:rFonts w:hint="eastAsia"/>
                <w:lang w:val="en-US" w:eastAsia="zh-CN"/>
              </w:rPr>
              <w:t>5-4-1 装备技术资料收集与管理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01" w:hRule="atLeast"/>
        </w:trPr>
        <w:tc>
          <w:tcPr>
            <w:tcW w:w="600" w:type="dxa"/>
            <w:vMerge w:val="continue"/>
            <w:tcBorders>
              <w:top w:val="single" w:color="000000" w:sz="4" w:space="0"/>
              <w:left w:val="single" w:color="000000" w:sz="8" w:space="0"/>
              <w:bottom w:val="single" w:color="000000" w:sz="8" w:space="0"/>
              <w:right w:val="single" w:color="000000" w:sz="4" w:space="0"/>
            </w:tcBorders>
            <w:shd w:val="clear" w:color="auto" w:fill="auto"/>
            <w:noWrap/>
            <w:vAlign w:val="center"/>
          </w:tcPr>
          <w:p>
            <w:pPr>
              <w:pStyle w:val="48"/>
              <w:bidi w:val="0"/>
              <w:rPr>
                <w:rFonts w:hint="eastAsia"/>
              </w:rPr>
            </w:pPr>
          </w:p>
        </w:tc>
        <w:tc>
          <w:tcPr>
            <w:tcW w:w="1380" w:type="dxa"/>
            <w:vMerge w:val="continue"/>
            <w:tcBorders>
              <w:top w:val="single" w:color="000000" w:sz="4" w:space="0"/>
              <w:left w:val="single" w:color="000000" w:sz="4" w:space="0"/>
              <w:bottom w:val="single" w:color="000000" w:sz="8" w:space="0"/>
              <w:right w:val="single" w:color="000000" w:sz="4" w:space="0"/>
            </w:tcBorders>
            <w:shd w:val="clear" w:color="auto" w:fill="auto"/>
            <w:vAlign w:val="center"/>
          </w:tcPr>
          <w:p>
            <w:pPr>
              <w:pStyle w:val="48"/>
              <w:bidi w:val="0"/>
              <w:rPr>
                <w:rFonts w:hint="eastAsia"/>
              </w:rPr>
            </w:pPr>
          </w:p>
        </w:tc>
        <w:tc>
          <w:tcPr>
            <w:tcW w:w="2760" w:type="dxa"/>
            <w:tcBorders>
              <w:top w:val="single" w:color="000000" w:sz="4" w:space="0"/>
              <w:left w:val="single" w:color="000000" w:sz="4" w:space="0"/>
              <w:bottom w:val="single" w:color="000000" w:sz="8" w:space="0"/>
              <w:right w:val="nil"/>
            </w:tcBorders>
            <w:shd w:val="clear" w:color="auto" w:fill="auto"/>
            <w:vAlign w:val="center"/>
          </w:tcPr>
          <w:p>
            <w:pPr>
              <w:pStyle w:val="48"/>
              <w:bidi w:val="0"/>
              <w:rPr>
                <w:rFonts w:hint="eastAsia"/>
              </w:rPr>
            </w:pPr>
            <w:r>
              <w:rPr>
                <w:rFonts w:hint="eastAsia"/>
                <w:lang w:val="en-US" w:eastAsia="zh-CN"/>
              </w:rPr>
              <w:t>5-5 备品备件管理</w:t>
            </w:r>
          </w:p>
        </w:tc>
        <w:tc>
          <w:tcPr>
            <w:tcW w:w="4800" w:type="dxa"/>
            <w:tcBorders>
              <w:top w:val="single" w:color="000000" w:sz="4" w:space="0"/>
              <w:left w:val="single" w:color="000000" w:sz="4" w:space="0"/>
              <w:bottom w:val="single" w:color="000000" w:sz="8" w:space="0"/>
              <w:right w:val="single" w:color="000000" w:sz="8" w:space="0"/>
            </w:tcBorders>
            <w:shd w:val="clear" w:color="auto" w:fill="auto"/>
            <w:vAlign w:val="center"/>
          </w:tcPr>
          <w:p>
            <w:pPr>
              <w:pStyle w:val="48"/>
              <w:bidi w:val="0"/>
              <w:rPr>
                <w:rFonts w:hint="eastAsia"/>
              </w:rPr>
            </w:pPr>
            <w:r>
              <w:rPr>
                <w:rFonts w:hint="eastAsia"/>
                <w:lang w:val="en-US" w:eastAsia="zh-CN"/>
              </w:rPr>
              <w:t>5-5-1 SAP等软件应用</w:t>
            </w:r>
          </w:p>
        </w:tc>
      </w:tr>
    </w:tbl>
    <w:p>
      <w:pPr>
        <w:rPr>
          <w:rFonts w:hint="eastAsia"/>
          <w:lang w:val="en-US" w:eastAsia="zh-CN"/>
        </w:rPr>
      </w:pPr>
    </w:p>
    <w:sectPr>
      <w:pgSz w:w="11906" w:h="16838"/>
      <w:pgMar w:top="1440" w:right="1800" w:bottom="1440" w:left="180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D551C29A-8700-437F-9078-B9BFD24A368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6B6B9633-2670-4B75-BC0D-027832341F3A}"/>
  </w:font>
  <w:font w:name="仿宋">
    <w:panose1 w:val="02010609060101010101"/>
    <w:charset w:val="86"/>
    <w:family w:val="modern"/>
    <w:pitch w:val="default"/>
    <w:sig w:usb0="800002BF" w:usb1="38CF7CFA" w:usb2="00000016" w:usb3="00000000" w:csb0="00040001" w:csb1="00000000"/>
    <w:embedRegular r:id="rId3" w:fontKey="{C91EBEC9-FB5F-49FA-B5F5-51D16B023733}"/>
  </w:font>
  <w:font w:name="微软雅黑">
    <w:panose1 w:val="020B0503020204020204"/>
    <w:charset w:val="86"/>
    <w:family w:val="auto"/>
    <w:pitch w:val="default"/>
    <w:sig w:usb0="80000287" w:usb1="2ACF3C50" w:usb2="00000016" w:usb3="00000000" w:csb0="0004001F" w:csb1="00000000"/>
  </w:font>
  <w:font w:name="汉仪粗仿宋简">
    <w:panose1 w:val="02010600000101010101"/>
    <w:charset w:val="86"/>
    <w:family w:val="auto"/>
    <w:pitch w:val="default"/>
    <w:sig w:usb0="00000001" w:usb1="080E0800" w:usb2="00000002" w:usb3="00000000" w:csb0="00040000" w:csb1="00000000"/>
  </w:font>
  <w:font w:name="FZSSK--GBK1-0">
    <w:altName w:val="Times New Roman"/>
    <w:panose1 w:val="00000000000000000000"/>
    <w:charset w:val="00"/>
    <w:family w:val="roman"/>
    <w:pitch w:val="default"/>
    <w:sig w:usb0="00000000" w:usb1="00000000" w:usb2="00000000" w:usb3="00000000" w:csb0="00000000" w:csb1="00000000"/>
  </w:font>
  <w:font w:name="仿宋_GB2312">
    <w:panose1 w:val="02010609030101010101"/>
    <w:charset w:val="86"/>
    <w:family w:val="modern"/>
    <w:pitch w:val="default"/>
    <w:sig w:usb0="00000001" w:usb1="080E0000" w:usb2="00000000" w:usb3="00000000" w:csb0="00040000" w:csb1="00000000"/>
    <w:embedRegular r:id="rId4" w:fontKey="{3246F4A2-1299-4E1C-9ACE-F3752E40E8E8}"/>
  </w:font>
  <w:font w:name="方正小标宋简体">
    <w:panose1 w:val="03000509000000000000"/>
    <w:charset w:val="86"/>
    <w:family w:val="script"/>
    <w:pitch w:val="default"/>
    <w:sig w:usb0="00000001" w:usb1="080E0000" w:usb2="00000000" w:usb3="00000000" w:csb0="00040000" w:csb1="00000000"/>
    <w:embedRegular r:id="rId5" w:fontKey="{4404FE4D-DD52-4CAF-9FFD-75B8587F3136}"/>
  </w:font>
  <w:font w:name="华文宋体">
    <w:panose1 w:val="02010600040101010101"/>
    <w:charset w:val="86"/>
    <w:family w:val="auto"/>
    <w:pitch w:val="default"/>
    <w:sig w:usb0="00000287" w:usb1="080F0000" w:usb2="00000000" w:usb3="00000000" w:csb0="0004009F" w:csb1="DFD70000"/>
    <w:embedRegular r:id="rId6" w:fontKey="{E03329FC-A6CC-41D9-A509-5F006F41192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pPr>
                          <w:r>
                            <w:fldChar w:fldCharType="begin"/>
                          </w:r>
                          <w:r>
                            <w:instrText xml:space="preserve"> PAGE  \* MERGEFORMAT </w:instrText>
                          </w:r>
                          <w:r>
                            <w:fldChar w:fldCharType="separate"/>
                          </w:r>
                          <w:r>
                            <w:t>38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pPr>
                      <w:pStyle w:val="9"/>
                    </w:pPr>
                    <w:r>
                      <w:fldChar w:fldCharType="begin"/>
                    </w:r>
                    <w:r>
                      <w:instrText xml:space="preserve"> PAGE  \* MERGEFORMAT </w:instrText>
                    </w:r>
                    <w:r>
                      <w:fldChar w:fldCharType="separate"/>
                    </w:r>
                    <w:r>
                      <w:t>38</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CF8F1D"/>
    <w:multiLevelType w:val="singleLevel"/>
    <w:tmpl w:val="0BCF8F1D"/>
    <w:lvl w:ilvl="0" w:tentative="0">
      <w:start w:val="2"/>
      <w:numFmt w:val="decimal"/>
      <w:lvlText w:val="%1."/>
      <w:lvlJc w:val="left"/>
      <w:pPr>
        <w:tabs>
          <w:tab w:val="left" w:pos="312"/>
        </w:tabs>
      </w:pPr>
    </w:lvl>
  </w:abstractNum>
  <w:abstractNum w:abstractNumId="1">
    <w:nsid w:val="3A70046D"/>
    <w:multiLevelType w:val="singleLevel"/>
    <w:tmpl w:val="3A70046D"/>
    <w:lvl w:ilvl="0" w:tentative="0">
      <w:start w:val="2"/>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NhMTIwYzQ5OTkzNmQ4YjRiMjgzOTFmMzNkNDI4MmEifQ=="/>
    <w:docVar w:name="KSO_WPS_MARK_KEY" w:val="270026e3-4b43-4f37-8100-755872a34bdf"/>
  </w:docVars>
  <w:rsids>
    <w:rsidRoot w:val="4D803138"/>
    <w:rsid w:val="00001D40"/>
    <w:rsid w:val="00002CA0"/>
    <w:rsid w:val="000100AC"/>
    <w:rsid w:val="00010BE3"/>
    <w:rsid w:val="00036678"/>
    <w:rsid w:val="00042E47"/>
    <w:rsid w:val="0004551C"/>
    <w:rsid w:val="00053C71"/>
    <w:rsid w:val="000579BA"/>
    <w:rsid w:val="0006060B"/>
    <w:rsid w:val="00063A41"/>
    <w:rsid w:val="000A3321"/>
    <w:rsid w:val="000B3A28"/>
    <w:rsid w:val="000B7E17"/>
    <w:rsid w:val="000C026C"/>
    <w:rsid w:val="000C3568"/>
    <w:rsid w:val="000D0280"/>
    <w:rsid w:val="000D0C9B"/>
    <w:rsid w:val="000D5C55"/>
    <w:rsid w:val="000E7042"/>
    <w:rsid w:val="00101AE9"/>
    <w:rsid w:val="00101CF8"/>
    <w:rsid w:val="001046E4"/>
    <w:rsid w:val="00104857"/>
    <w:rsid w:val="00106421"/>
    <w:rsid w:val="00132A1A"/>
    <w:rsid w:val="00135135"/>
    <w:rsid w:val="00135875"/>
    <w:rsid w:val="001412F2"/>
    <w:rsid w:val="00151B8B"/>
    <w:rsid w:val="00157A3E"/>
    <w:rsid w:val="00162AF6"/>
    <w:rsid w:val="00170DCA"/>
    <w:rsid w:val="00170F78"/>
    <w:rsid w:val="00172E8C"/>
    <w:rsid w:val="00176770"/>
    <w:rsid w:val="0018274C"/>
    <w:rsid w:val="00185A4F"/>
    <w:rsid w:val="00197369"/>
    <w:rsid w:val="001A1FAB"/>
    <w:rsid w:val="001A576F"/>
    <w:rsid w:val="001A5CF3"/>
    <w:rsid w:val="001B0140"/>
    <w:rsid w:val="001B48AF"/>
    <w:rsid w:val="001E3CED"/>
    <w:rsid w:val="001E50E0"/>
    <w:rsid w:val="001F13C1"/>
    <w:rsid w:val="001F2754"/>
    <w:rsid w:val="002211B8"/>
    <w:rsid w:val="00225828"/>
    <w:rsid w:val="00225829"/>
    <w:rsid w:val="00234F37"/>
    <w:rsid w:val="002546C1"/>
    <w:rsid w:val="00276387"/>
    <w:rsid w:val="00277067"/>
    <w:rsid w:val="002961C3"/>
    <w:rsid w:val="002A572D"/>
    <w:rsid w:val="002A66EA"/>
    <w:rsid w:val="002B532C"/>
    <w:rsid w:val="002C3366"/>
    <w:rsid w:val="002C4449"/>
    <w:rsid w:val="002C6283"/>
    <w:rsid w:val="002C6C02"/>
    <w:rsid w:val="002D41BF"/>
    <w:rsid w:val="002D45B0"/>
    <w:rsid w:val="002E01C1"/>
    <w:rsid w:val="002E7F46"/>
    <w:rsid w:val="00311B63"/>
    <w:rsid w:val="003217F7"/>
    <w:rsid w:val="00333A2A"/>
    <w:rsid w:val="0034662D"/>
    <w:rsid w:val="0035319C"/>
    <w:rsid w:val="00356317"/>
    <w:rsid w:val="0036256A"/>
    <w:rsid w:val="00371B2E"/>
    <w:rsid w:val="00374C85"/>
    <w:rsid w:val="0038576D"/>
    <w:rsid w:val="0039553A"/>
    <w:rsid w:val="00396312"/>
    <w:rsid w:val="003A3D0E"/>
    <w:rsid w:val="003B36D4"/>
    <w:rsid w:val="003C468C"/>
    <w:rsid w:val="003C6A75"/>
    <w:rsid w:val="003F1084"/>
    <w:rsid w:val="003F3528"/>
    <w:rsid w:val="003F51DC"/>
    <w:rsid w:val="0041700E"/>
    <w:rsid w:val="004221FC"/>
    <w:rsid w:val="00424589"/>
    <w:rsid w:val="00426810"/>
    <w:rsid w:val="00427135"/>
    <w:rsid w:val="00434EB0"/>
    <w:rsid w:val="00440599"/>
    <w:rsid w:val="00444F06"/>
    <w:rsid w:val="00444F83"/>
    <w:rsid w:val="004608A6"/>
    <w:rsid w:val="004620A6"/>
    <w:rsid w:val="0046221B"/>
    <w:rsid w:val="00464F31"/>
    <w:rsid w:val="00474F14"/>
    <w:rsid w:val="00491252"/>
    <w:rsid w:val="004927F1"/>
    <w:rsid w:val="004A4859"/>
    <w:rsid w:val="004E2450"/>
    <w:rsid w:val="004F42C2"/>
    <w:rsid w:val="004F7091"/>
    <w:rsid w:val="004F7AD0"/>
    <w:rsid w:val="00503EC9"/>
    <w:rsid w:val="00511F02"/>
    <w:rsid w:val="00526860"/>
    <w:rsid w:val="00532AA4"/>
    <w:rsid w:val="00533C4F"/>
    <w:rsid w:val="0054226F"/>
    <w:rsid w:val="00556848"/>
    <w:rsid w:val="00556F26"/>
    <w:rsid w:val="00563495"/>
    <w:rsid w:val="00573245"/>
    <w:rsid w:val="00580063"/>
    <w:rsid w:val="005813B0"/>
    <w:rsid w:val="0058514F"/>
    <w:rsid w:val="00594AA7"/>
    <w:rsid w:val="005954A8"/>
    <w:rsid w:val="005A597D"/>
    <w:rsid w:val="005C046A"/>
    <w:rsid w:val="005C634C"/>
    <w:rsid w:val="005E4A24"/>
    <w:rsid w:val="005F29AE"/>
    <w:rsid w:val="00615AA6"/>
    <w:rsid w:val="00623027"/>
    <w:rsid w:val="00626E37"/>
    <w:rsid w:val="006379DB"/>
    <w:rsid w:val="006424E0"/>
    <w:rsid w:val="00644FF9"/>
    <w:rsid w:val="006564CD"/>
    <w:rsid w:val="006567DB"/>
    <w:rsid w:val="00670F0E"/>
    <w:rsid w:val="00671208"/>
    <w:rsid w:val="00675486"/>
    <w:rsid w:val="006758ED"/>
    <w:rsid w:val="0067611B"/>
    <w:rsid w:val="0067645F"/>
    <w:rsid w:val="00680735"/>
    <w:rsid w:val="0068167F"/>
    <w:rsid w:val="006A226F"/>
    <w:rsid w:val="006A2D30"/>
    <w:rsid w:val="006A4E03"/>
    <w:rsid w:val="006A4EB6"/>
    <w:rsid w:val="006C0EF9"/>
    <w:rsid w:val="006C1A6C"/>
    <w:rsid w:val="006C2210"/>
    <w:rsid w:val="006C53C1"/>
    <w:rsid w:val="006D2F49"/>
    <w:rsid w:val="006F2EB1"/>
    <w:rsid w:val="00701F27"/>
    <w:rsid w:val="0070644B"/>
    <w:rsid w:val="0071389C"/>
    <w:rsid w:val="00713ED7"/>
    <w:rsid w:val="00716A1F"/>
    <w:rsid w:val="00733444"/>
    <w:rsid w:val="0073727D"/>
    <w:rsid w:val="00741DAE"/>
    <w:rsid w:val="00741F63"/>
    <w:rsid w:val="00743E9E"/>
    <w:rsid w:val="00745986"/>
    <w:rsid w:val="00750DA7"/>
    <w:rsid w:val="007714E4"/>
    <w:rsid w:val="00780BDD"/>
    <w:rsid w:val="0078457A"/>
    <w:rsid w:val="00795BDF"/>
    <w:rsid w:val="007A1713"/>
    <w:rsid w:val="007A173A"/>
    <w:rsid w:val="007A1F80"/>
    <w:rsid w:val="007B5420"/>
    <w:rsid w:val="007B568B"/>
    <w:rsid w:val="007C14D4"/>
    <w:rsid w:val="007C3FE0"/>
    <w:rsid w:val="007D1782"/>
    <w:rsid w:val="007D2437"/>
    <w:rsid w:val="007E4CEF"/>
    <w:rsid w:val="007E730E"/>
    <w:rsid w:val="007F1427"/>
    <w:rsid w:val="007F3CB7"/>
    <w:rsid w:val="007F78FF"/>
    <w:rsid w:val="00801AAE"/>
    <w:rsid w:val="0080636C"/>
    <w:rsid w:val="00807A56"/>
    <w:rsid w:val="008113B3"/>
    <w:rsid w:val="00811951"/>
    <w:rsid w:val="00816543"/>
    <w:rsid w:val="00820376"/>
    <w:rsid w:val="00820FA0"/>
    <w:rsid w:val="00822779"/>
    <w:rsid w:val="008255EB"/>
    <w:rsid w:val="00827E17"/>
    <w:rsid w:val="00833C09"/>
    <w:rsid w:val="0085432A"/>
    <w:rsid w:val="00855010"/>
    <w:rsid w:val="00875BC5"/>
    <w:rsid w:val="00876707"/>
    <w:rsid w:val="00880537"/>
    <w:rsid w:val="00881905"/>
    <w:rsid w:val="00893E62"/>
    <w:rsid w:val="00894F75"/>
    <w:rsid w:val="0089569F"/>
    <w:rsid w:val="008A5614"/>
    <w:rsid w:val="008B1F68"/>
    <w:rsid w:val="008B287E"/>
    <w:rsid w:val="008C49CC"/>
    <w:rsid w:val="008D1F35"/>
    <w:rsid w:val="008F03D7"/>
    <w:rsid w:val="008F187E"/>
    <w:rsid w:val="008F337E"/>
    <w:rsid w:val="008F6A88"/>
    <w:rsid w:val="009100FC"/>
    <w:rsid w:val="009164BD"/>
    <w:rsid w:val="00933B5B"/>
    <w:rsid w:val="0093599F"/>
    <w:rsid w:val="009416B8"/>
    <w:rsid w:val="009554B2"/>
    <w:rsid w:val="00957A71"/>
    <w:rsid w:val="00960C22"/>
    <w:rsid w:val="009643F6"/>
    <w:rsid w:val="0096469C"/>
    <w:rsid w:val="009664D5"/>
    <w:rsid w:val="00975D98"/>
    <w:rsid w:val="0098522D"/>
    <w:rsid w:val="009852DE"/>
    <w:rsid w:val="0098747C"/>
    <w:rsid w:val="00997337"/>
    <w:rsid w:val="009B3C95"/>
    <w:rsid w:val="009B584F"/>
    <w:rsid w:val="009C07DB"/>
    <w:rsid w:val="009C49F0"/>
    <w:rsid w:val="009C697C"/>
    <w:rsid w:val="009E6B90"/>
    <w:rsid w:val="009F0347"/>
    <w:rsid w:val="009F7C33"/>
    <w:rsid w:val="00A0294A"/>
    <w:rsid w:val="00A07D53"/>
    <w:rsid w:val="00A106DC"/>
    <w:rsid w:val="00A11133"/>
    <w:rsid w:val="00A177E5"/>
    <w:rsid w:val="00A21A1F"/>
    <w:rsid w:val="00A30AD5"/>
    <w:rsid w:val="00A33428"/>
    <w:rsid w:val="00A33768"/>
    <w:rsid w:val="00A451A5"/>
    <w:rsid w:val="00A46B30"/>
    <w:rsid w:val="00A61B6E"/>
    <w:rsid w:val="00A62F84"/>
    <w:rsid w:val="00A73C39"/>
    <w:rsid w:val="00A778C7"/>
    <w:rsid w:val="00A8016F"/>
    <w:rsid w:val="00A83AD3"/>
    <w:rsid w:val="00A869BA"/>
    <w:rsid w:val="00A96719"/>
    <w:rsid w:val="00AA3EA7"/>
    <w:rsid w:val="00AC5F2A"/>
    <w:rsid w:val="00AD6482"/>
    <w:rsid w:val="00AE107E"/>
    <w:rsid w:val="00AE6A79"/>
    <w:rsid w:val="00B0005C"/>
    <w:rsid w:val="00B2229D"/>
    <w:rsid w:val="00B23082"/>
    <w:rsid w:val="00B2466C"/>
    <w:rsid w:val="00B338E8"/>
    <w:rsid w:val="00B360BA"/>
    <w:rsid w:val="00B375F1"/>
    <w:rsid w:val="00B42719"/>
    <w:rsid w:val="00B51AD6"/>
    <w:rsid w:val="00B533F4"/>
    <w:rsid w:val="00B53FF6"/>
    <w:rsid w:val="00B5432D"/>
    <w:rsid w:val="00B718B7"/>
    <w:rsid w:val="00B86FE1"/>
    <w:rsid w:val="00B96E18"/>
    <w:rsid w:val="00BA0605"/>
    <w:rsid w:val="00BD01B3"/>
    <w:rsid w:val="00BD601C"/>
    <w:rsid w:val="00BD6199"/>
    <w:rsid w:val="00BE312E"/>
    <w:rsid w:val="00BE66BA"/>
    <w:rsid w:val="00BF4765"/>
    <w:rsid w:val="00C1251E"/>
    <w:rsid w:val="00C173F6"/>
    <w:rsid w:val="00C27E11"/>
    <w:rsid w:val="00C3149B"/>
    <w:rsid w:val="00C32AC6"/>
    <w:rsid w:val="00C35ECD"/>
    <w:rsid w:val="00C45D92"/>
    <w:rsid w:val="00C55EA6"/>
    <w:rsid w:val="00C600D0"/>
    <w:rsid w:val="00C62CAD"/>
    <w:rsid w:val="00C63903"/>
    <w:rsid w:val="00C927E5"/>
    <w:rsid w:val="00C965EA"/>
    <w:rsid w:val="00C97449"/>
    <w:rsid w:val="00CA6FA5"/>
    <w:rsid w:val="00CB017F"/>
    <w:rsid w:val="00CC3E04"/>
    <w:rsid w:val="00CD10B0"/>
    <w:rsid w:val="00CD5408"/>
    <w:rsid w:val="00CD70A3"/>
    <w:rsid w:val="00CD789F"/>
    <w:rsid w:val="00CE3C9C"/>
    <w:rsid w:val="00CF029B"/>
    <w:rsid w:val="00CF7413"/>
    <w:rsid w:val="00D00A8F"/>
    <w:rsid w:val="00D03F53"/>
    <w:rsid w:val="00D05F1C"/>
    <w:rsid w:val="00D06BB5"/>
    <w:rsid w:val="00D078FE"/>
    <w:rsid w:val="00D1394A"/>
    <w:rsid w:val="00D15312"/>
    <w:rsid w:val="00D20FA9"/>
    <w:rsid w:val="00D31CFD"/>
    <w:rsid w:val="00D57077"/>
    <w:rsid w:val="00D8110A"/>
    <w:rsid w:val="00D8357D"/>
    <w:rsid w:val="00D9296F"/>
    <w:rsid w:val="00D97A67"/>
    <w:rsid w:val="00DA5C53"/>
    <w:rsid w:val="00DA7F0B"/>
    <w:rsid w:val="00DB17C8"/>
    <w:rsid w:val="00DE2DB1"/>
    <w:rsid w:val="00DE5EBA"/>
    <w:rsid w:val="00E02A8F"/>
    <w:rsid w:val="00E0384F"/>
    <w:rsid w:val="00E30EED"/>
    <w:rsid w:val="00E32C0E"/>
    <w:rsid w:val="00E42FFD"/>
    <w:rsid w:val="00E62664"/>
    <w:rsid w:val="00E70393"/>
    <w:rsid w:val="00E70DA7"/>
    <w:rsid w:val="00E74606"/>
    <w:rsid w:val="00E7479E"/>
    <w:rsid w:val="00E81BAA"/>
    <w:rsid w:val="00E85876"/>
    <w:rsid w:val="00E86D0E"/>
    <w:rsid w:val="00EB1818"/>
    <w:rsid w:val="00EB3F5B"/>
    <w:rsid w:val="00EB6EFD"/>
    <w:rsid w:val="00EC1342"/>
    <w:rsid w:val="00EC2374"/>
    <w:rsid w:val="00ED7953"/>
    <w:rsid w:val="00EE0622"/>
    <w:rsid w:val="00EE08F9"/>
    <w:rsid w:val="00EE48E9"/>
    <w:rsid w:val="00F00B12"/>
    <w:rsid w:val="00F119D8"/>
    <w:rsid w:val="00F219C8"/>
    <w:rsid w:val="00F40722"/>
    <w:rsid w:val="00F40CA2"/>
    <w:rsid w:val="00F6244E"/>
    <w:rsid w:val="00F66A4E"/>
    <w:rsid w:val="00F71EE1"/>
    <w:rsid w:val="00F767B7"/>
    <w:rsid w:val="00F77435"/>
    <w:rsid w:val="00F91A16"/>
    <w:rsid w:val="00FA2E73"/>
    <w:rsid w:val="00FB17F4"/>
    <w:rsid w:val="00FB1EA9"/>
    <w:rsid w:val="00FB7096"/>
    <w:rsid w:val="00FC091E"/>
    <w:rsid w:val="00FC6B0D"/>
    <w:rsid w:val="00FD7804"/>
    <w:rsid w:val="01097D2F"/>
    <w:rsid w:val="01161381"/>
    <w:rsid w:val="01257317"/>
    <w:rsid w:val="0132783D"/>
    <w:rsid w:val="0155487B"/>
    <w:rsid w:val="0160084E"/>
    <w:rsid w:val="017817AA"/>
    <w:rsid w:val="017F6FD8"/>
    <w:rsid w:val="01813A41"/>
    <w:rsid w:val="01825DFC"/>
    <w:rsid w:val="01A7022B"/>
    <w:rsid w:val="01AA1679"/>
    <w:rsid w:val="01B668C3"/>
    <w:rsid w:val="01BD0DCF"/>
    <w:rsid w:val="01C50469"/>
    <w:rsid w:val="01EF2547"/>
    <w:rsid w:val="0200614A"/>
    <w:rsid w:val="02057C74"/>
    <w:rsid w:val="020F4C62"/>
    <w:rsid w:val="02130D09"/>
    <w:rsid w:val="02172252"/>
    <w:rsid w:val="021A3862"/>
    <w:rsid w:val="0227136C"/>
    <w:rsid w:val="022B2C0A"/>
    <w:rsid w:val="023B3CED"/>
    <w:rsid w:val="023F66B6"/>
    <w:rsid w:val="02493090"/>
    <w:rsid w:val="02531D49"/>
    <w:rsid w:val="025334C0"/>
    <w:rsid w:val="02612B5C"/>
    <w:rsid w:val="026E5A12"/>
    <w:rsid w:val="026F32DD"/>
    <w:rsid w:val="0282441D"/>
    <w:rsid w:val="0287374E"/>
    <w:rsid w:val="02A06262"/>
    <w:rsid w:val="02B14B04"/>
    <w:rsid w:val="02CF3242"/>
    <w:rsid w:val="02D36DFE"/>
    <w:rsid w:val="02DA19A6"/>
    <w:rsid w:val="02F50C20"/>
    <w:rsid w:val="03155CE0"/>
    <w:rsid w:val="031E451D"/>
    <w:rsid w:val="034C7B79"/>
    <w:rsid w:val="034E4899"/>
    <w:rsid w:val="036C7AE7"/>
    <w:rsid w:val="03855767"/>
    <w:rsid w:val="03914CEF"/>
    <w:rsid w:val="03990047"/>
    <w:rsid w:val="039B6FA2"/>
    <w:rsid w:val="03AF2D1D"/>
    <w:rsid w:val="03B804CE"/>
    <w:rsid w:val="03C70711"/>
    <w:rsid w:val="03E47CA3"/>
    <w:rsid w:val="04150212"/>
    <w:rsid w:val="04365EC8"/>
    <w:rsid w:val="044B5C73"/>
    <w:rsid w:val="044C0C16"/>
    <w:rsid w:val="045D14CA"/>
    <w:rsid w:val="049A35E3"/>
    <w:rsid w:val="04CD61FB"/>
    <w:rsid w:val="04E36052"/>
    <w:rsid w:val="04E74BBB"/>
    <w:rsid w:val="05045994"/>
    <w:rsid w:val="05107E95"/>
    <w:rsid w:val="05377B18"/>
    <w:rsid w:val="05507126"/>
    <w:rsid w:val="05544226"/>
    <w:rsid w:val="055E32F7"/>
    <w:rsid w:val="05616CB1"/>
    <w:rsid w:val="05663875"/>
    <w:rsid w:val="056F72B2"/>
    <w:rsid w:val="05760640"/>
    <w:rsid w:val="058F4B18"/>
    <w:rsid w:val="0593729F"/>
    <w:rsid w:val="05A066EC"/>
    <w:rsid w:val="05B9052D"/>
    <w:rsid w:val="05BC001D"/>
    <w:rsid w:val="05C00EF6"/>
    <w:rsid w:val="05C043A1"/>
    <w:rsid w:val="05C650AD"/>
    <w:rsid w:val="05D0482D"/>
    <w:rsid w:val="05D709B3"/>
    <w:rsid w:val="05D919C1"/>
    <w:rsid w:val="05D944F0"/>
    <w:rsid w:val="05E71585"/>
    <w:rsid w:val="05F977A1"/>
    <w:rsid w:val="06086A7D"/>
    <w:rsid w:val="06090251"/>
    <w:rsid w:val="060C4B01"/>
    <w:rsid w:val="0624009C"/>
    <w:rsid w:val="06257970"/>
    <w:rsid w:val="062A4F48"/>
    <w:rsid w:val="062F4C1A"/>
    <w:rsid w:val="063130C9"/>
    <w:rsid w:val="063227D0"/>
    <w:rsid w:val="06375C91"/>
    <w:rsid w:val="064A5629"/>
    <w:rsid w:val="065648B2"/>
    <w:rsid w:val="06585F98"/>
    <w:rsid w:val="066F3121"/>
    <w:rsid w:val="06732DD2"/>
    <w:rsid w:val="067E4035"/>
    <w:rsid w:val="06817534"/>
    <w:rsid w:val="06A1305A"/>
    <w:rsid w:val="06A82EB5"/>
    <w:rsid w:val="06BD2BEF"/>
    <w:rsid w:val="06C54CB0"/>
    <w:rsid w:val="06DC0977"/>
    <w:rsid w:val="06DC65A4"/>
    <w:rsid w:val="07094BBF"/>
    <w:rsid w:val="0728596A"/>
    <w:rsid w:val="07416A2C"/>
    <w:rsid w:val="07465DF0"/>
    <w:rsid w:val="075C73C2"/>
    <w:rsid w:val="076369A2"/>
    <w:rsid w:val="077401F5"/>
    <w:rsid w:val="07754928"/>
    <w:rsid w:val="078739FC"/>
    <w:rsid w:val="078F59E9"/>
    <w:rsid w:val="07AD40C1"/>
    <w:rsid w:val="07B14BBB"/>
    <w:rsid w:val="07BF65A4"/>
    <w:rsid w:val="07CD358E"/>
    <w:rsid w:val="07D57174"/>
    <w:rsid w:val="07D576C9"/>
    <w:rsid w:val="07E957CF"/>
    <w:rsid w:val="07EE7232"/>
    <w:rsid w:val="08053EFD"/>
    <w:rsid w:val="08147637"/>
    <w:rsid w:val="081619E0"/>
    <w:rsid w:val="081C1E54"/>
    <w:rsid w:val="0826583C"/>
    <w:rsid w:val="083B791F"/>
    <w:rsid w:val="084E1401"/>
    <w:rsid w:val="08536B2A"/>
    <w:rsid w:val="085D5AE7"/>
    <w:rsid w:val="086F75C9"/>
    <w:rsid w:val="08907C6B"/>
    <w:rsid w:val="089B1EC4"/>
    <w:rsid w:val="08A632D3"/>
    <w:rsid w:val="08AA43DA"/>
    <w:rsid w:val="08AB098B"/>
    <w:rsid w:val="08AF4AEC"/>
    <w:rsid w:val="08C45EB0"/>
    <w:rsid w:val="08CB0CA3"/>
    <w:rsid w:val="08DA0EE6"/>
    <w:rsid w:val="08F17FDE"/>
    <w:rsid w:val="08F95139"/>
    <w:rsid w:val="08FA6E92"/>
    <w:rsid w:val="09047D11"/>
    <w:rsid w:val="09093579"/>
    <w:rsid w:val="090A5711"/>
    <w:rsid w:val="090B1428"/>
    <w:rsid w:val="091D7025"/>
    <w:rsid w:val="0946657C"/>
    <w:rsid w:val="095073FA"/>
    <w:rsid w:val="095660AE"/>
    <w:rsid w:val="095A7C8D"/>
    <w:rsid w:val="096D3578"/>
    <w:rsid w:val="09724630"/>
    <w:rsid w:val="097E2250"/>
    <w:rsid w:val="09986A0B"/>
    <w:rsid w:val="09A662D7"/>
    <w:rsid w:val="09B71227"/>
    <w:rsid w:val="09CA2FA6"/>
    <w:rsid w:val="09CB12D0"/>
    <w:rsid w:val="09DB69E1"/>
    <w:rsid w:val="0A042B2D"/>
    <w:rsid w:val="0A081A83"/>
    <w:rsid w:val="0A27069E"/>
    <w:rsid w:val="0A61614B"/>
    <w:rsid w:val="0A786C09"/>
    <w:rsid w:val="0A863551"/>
    <w:rsid w:val="0A876C58"/>
    <w:rsid w:val="0A902786"/>
    <w:rsid w:val="0A942BBA"/>
    <w:rsid w:val="0AAB0D8C"/>
    <w:rsid w:val="0ABA0FCF"/>
    <w:rsid w:val="0AC01E9A"/>
    <w:rsid w:val="0ACB616E"/>
    <w:rsid w:val="0ACE4A7B"/>
    <w:rsid w:val="0ACF355F"/>
    <w:rsid w:val="0ADE60E3"/>
    <w:rsid w:val="0B093D05"/>
    <w:rsid w:val="0B0941CB"/>
    <w:rsid w:val="0B3D6E88"/>
    <w:rsid w:val="0B416FFB"/>
    <w:rsid w:val="0B5C5BDE"/>
    <w:rsid w:val="0B770BE8"/>
    <w:rsid w:val="0B9D6BF9"/>
    <w:rsid w:val="0BD266EC"/>
    <w:rsid w:val="0BD87233"/>
    <w:rsid w:val="0BE36304"/>
    <w:rsid w:val="0BE6560D"/>
    <w:rsid w:val="0BF12B54"/>
    <w:rsid w:val="0BFD07DA"/>
    <w:rsid w:val="0C0D3381"/>
    <w:rsid w:val="0C2030B4"/>
    <w:rsid w:val="0C28511E"/>
    <w:rsid w:val="0C2C7CAB"/>
    <w:rsid w:val="0C3A6864"/>
    <w:rsid w:val="0C451138"/>
    <w:rsid w:val="0C590374"/>
    <w:rsid w:val="0C5A72D4"/>
    <w:rsid w:val="0C915D60"/>
    <w:rsid w:val="0CA12639"/>
    <w:rsid w:val="0CA535B9"/>
    <w:rsid w:val="0CBD7823"/>
    <w:rsid w:val="0CCC09CB"/>
    <w:rsid w:val="0CDC24AD"/>
    <w:rsid w:val="0CE57E5A"/>
    <w:rsid w:val="0CE67012"/>
    <w:rsid w:val="0CF1450C"/>
    <w:rsid w:val="0CF4019B"/>
    <w:rsid w:val="0D0222EC"/>
    <w:rsid w:val="0D122A3E"/>
    <w:rsid w:val="0D162E8F"/>
    <w:rsid w:val="0D3355BC"/>
    <w:rsid w:val="0D3A348B"/>
    <w:rsid w:val="0D40647F"/>
    <w:rsid w:val="0D441189"/>
    <w:rsid w:val="0D5374B9"/>
    <w:rsid w:val="0D553231"/>
    <w:rsid w:val="0D935B07"/>
    <w:rsid w:val="0D960A23"/>
    <w:rsid w:val="0DC123E3"/>
    <w:rsid w:val="0DDE3227"/>
    <w:rsid w:val="0DE9184E"/>
    <w:rsid w:val="0E12367C"/>
    <w:rsid w:val="0E2E2587"/>
    <w:rsid w:val="0E4B1576"/>
    <w:rsid w:val="0E547045"/>
    <w:rsid w:val="0E58495B"/>
    <w:rsid w:val="0E64279E"/>
    <w:rsid w:val="0E8518F4"/>
    <w:rsid w:val="0EA969AA"/>
    <w:rsid w:val="0EAD3C7B"/>
    <w:rsid w:val="0EAF24CD"/>
    <w:rsid w:val="0EB75826"/>
    <w:rsid w:val="0EBB3C66"/>
    <w:rsid w:val="0EBB45B0"/>
    <w:rsid w:val="0EE77EB9"/>
    <w:rsid w:val="0EE91E83"/>
    <w:rsid w:val="0F3F5F47"/>
    <w:rsid w:val="0F576599"/>
    <w:rsid w:val="0F6A4791"/>
    <w:rsid w:val="0F930041"/>
    <w:rsid w:val="0FAE6C29"/>
    <w:rsid w:val="0FC51CE8"/>
    <w:rsid w:val="0FEA60DF"/>
    <w:rsid w:val="100223E4"/>
    <w:rsid w:val="100F554C"/>
    <w:rsid w:val="101F4CFE"/>
    <w:rsid w:val="103A1217"/>
    <w:rsid w:val="10453240"/>
    <w:rsid w:val="10623427"/>
    <w:rsid w:val="107621DF"/>
    <w:rsid w:val="10865C7F"/>
    <w:rsid w:val="109C6E08"/>
    <w:rsid w:val="10AC760C"/>
    <w:rsid w:val="10B10D45"/>
    <w:rsid w:val="10CD2C5F"/>
    <w:rsid w:val="10CE7EBA"/>
    <w:rsid w:val="10D3740C"/>
    <w:rsid w:val="10D5425A"/>
    <w:rsid w:val="10EA0134"/>
    <w:rsid w:val="10EE19D3"/>
    <w:rsid w:val="10F16DCD"/>
    <w:rsid w:val="10F25B74"/>
    <w:rsid w:val="110307F9"/>
    <w:rsid w:val="111A46D0"/>
    <w:rsid w:val="112A260B"/>
    <w:rsid w:val="114769A1"/>
    <w:rsid w:val="11654C75"/>
    <w:rsid w:val="11677BA5"/>
    <w:rsid w:val="11716160"/>
    <w:rsid w:val="11752F79"/>
    <w:rsid w:val="117C2E73"/>
    <w:rsid w:val="117D57BD"/>
    <w:rsid w:val="11826A24"/>
    <w:rsid w:val="118F65E6"/>
    <w:rsid w:val="119E6026"/>
    <w:rsid w:val="11A77DD3"/>
    <w:rsid w:val="11CB1D14"/>
    <w:rsid w:val="11CC15E8"/>
    <w:rsid w:val="11CE3880"/>
    <w:rsid w:val="11E15DDB"/>
    <w:rsid w:val="11E5266E"/>
    <w:rsid w:val="11F03528"/>
    <w:rsid w:val="11FE0CF6"/>
    <w:rsid w:val="1218459A"/>
    <w:rsid w:val="121E178F"/>
    <w:rsid w:val="12277E78"/>
    <w:rsid w:val="123435EF"/>
    <w:rsid w:val="12453041"/>
    <w:rsid w:val="129B16E6"/>
    <w:rsid w:val="12A1106E"/>
    <w:rsid w:val="12A52565"/>
    <w:rsid w:val="12AB0982"/>
    <w:rsid w:val="12BB771E"/>
    <w:rsid w:val="12BD50B9"/>
    <w:rsid w:val="12C01518"/>
    <w:rsid w:val="12D17EA5"/>
    <w:rsid w:val="12D90460"/>
    <w:rsid w:val="12E8656E"/>
    <w:rsid w:val="12E93397"/>
    <w:rsid w:val="12F9273B"/>
    <w:rsid w:val="12FD079B"/>
    <w:rsid w:val="130320E9"/>
    <w:rsid w:val="13053949"/>
    <w:rsid w:val="13165211"/>
    <w:rsid w:val="13345806"/>
    <w:rsid w:val="1335544A"/>
    <w:rsid w:val="13684DFD"/>
    <w:rsid w:val="137F7A39"/>
    <w:rsid w:val="13815D45"/>
    <w:rsid w:val="13887212"/>
    <w:rsid w:val="139231D1"/>
    <w:rsid w:val="13A04ADA"/>
    <w:rsid w:val="13AB1FDE"/>
    <w:rsid w:val="13AF66D9"/>
    <w:rsid w:val="13AF6871"/>
    <w:rsid w:val="13B81E24"/>
    <w:rsid w:val="13CA1B57"/>
    <w:rsid w:val="13E850BC"/>
    <w:rsid w:val="14062128"/>
    <w:rsid w:val="1406306D"/>
    <w:rsid w:val="14100781"/>
    <w:rsid w:val="141542B3"/>
    <w:rsid w:val="14407B8F"/>
    <w:rsid w:val="144A7030"/>
    <w:rsid w:val="14505E02"/>
    <w:rsid w:val="14586A70"/>
    <w:rsid w:val="145F6743"/>
    <w:rsid w:val="14603903"/>
    <w:rsid w:val="146855F8"/>
    <w:rsid w:val="148A62EF"/>
    <w:rsid w:val="14922675"/>
    <w:rsid w:val="14B52807"/>
    <w:rsid w:val="14BE2ECF"/>
    <w:rsid w:val="14C12F5A"/>
    <w:rsid w:val="14C421CA"/>
    <w:rsid w:val="14D54096"/>
    <w:rsid w:val="14F15252"/>
    <w:rsid w:val="150A2F86"/>
    <w:rsid w:val="150D2643"/>
    <w:rsid w:val="151B5225"/>
    <w:rsid w:val="151E215B"/>
    <w:rsid w:val="15522F42"/>
    <w:rsid w:val="15561574"/>
    <w:rsid w:val="1558568D"/>
    <w:rsid w:val="15653784"/>
    <w:rsid w:val="156C1118"/>
    <w:rsid w:val="15852F26"/>
    <w:rsid w:val="159521D1"/>
    <w:rsid w:val="159863B1"/>
    <w:rsid w:val="159A517C"/>
    <w:rsid w:val="15A0315C"/>
    <w:rsid w:val="15AD5533"/>
    <w:rsid w:val="15B00C46"/>
    <w:rsid w:val="15CD3689"/>
    <w:rsid w:val="15D144C2"/>
    <w:rsid w:val="15D32F45"/>
    <w:rsid w:val="15DA0777"/>
    <w:rsid w:val="15ED4D6D"/>
    <w:rsid w:val="15FF01DE"/>
    <w:rsid w:val="160101E2"/>
    <w:rsid w:val="160B34F9"/>
    <w:rsid w:val="16382CA9"/>
    <w:rsid w:val="163B0AEA"/>
    <w:rsid w:val="166A49C1"/>
    <w:rsid w:val="16AD70B6"/>
    <w:rsid w:val="16B70AB9"/>
    <w:rsid w:val="16BB01E4"/>
    <w:rsid w:val="16CD3E38"/>
    <w:rsid w:val="16DB5131"/>
    <w:rsid w:val="16FC64CC"/>
    <w:rsid w:val="16FF643C"/>
    <w:rsid w:val="17141626"/>
    <w:rsid w:val="17164531"/>
    <w:rsid w:val="17350030"/>
    <w:rsid w:val="173B6C95"/>
    <w:rsid w:val="173E3223"/>
    <w:rsid w:val="174330D0"/>
    <w:rsid w:val="17485346"/>
    <w:rsid w:val="17500CF1"/>
    <w:rsid w:val="175C099D"/>
    <w:rsid w:val="179E5715"/>
    <w:rsid w:val="17B255FB"/>
    <w:rsid w:val="17DC1F43"/>
    <w:rsid w:val="17DC3F56"/>
    <w:rsid w:val="17E92EF4"/>
    <w:rsid w:val="180A3163"/>
    <w:rsid w:val="18153CE9"/>
    <w:rsid w:val="18267CA4"/>
    <w:rsid w:val="185365BF"/>
    <w:rsid w:val="18610CDC"/>
    <w:rsid w:val="186159D7"/>
    <w:rsid w:val="186D58D3"/>
    <w:rsid w:val="18901263"/>
    <w:rsid w:val="18B352B0"/>
    <w:rsid w:val="18BB0E0C"/>
    <w:rsid w:val="18C7014D"/>
    <w:rsid w:val="18C80D5B"/>
    <w:rsid w:val="18D47700"/>
    <w:rsid w:val="18DE057F"/>
    <w:rsid w:val="18E57939"/>
    <w:rsid w:val="18FA4C8D"/>
    <w:rsid w:val="19103E5D"/>
    <w:rsid w:val="191044B0"/>
    <w:rsid w:val="19376677"/>
    <w:rsid w:val="196549B7"/>
    <w:rsid w:val="19715E69"/>
    <w:rsid w:val="1978041D"/>
    <w:rsid w:val="198645D5"/>
    <w:rsid w:val="198C7FDB"/>
    <w:rsid w:val="19947A33"/>
    <w:rsid w:val="19A075E2"/>
    <w:rsid w:val="19A65264"/>
    <w:rsid w:val="19F42A02"/>
    <w:rsid w:val="19F53DD2"/>
    <w:rsid w:val="1A1917B3"/>
    <w:rsid w:val="1A3D7527"/>
    <w:rsid w:val="1A472154"/>
    <w:rsid w:val="1A4F792D"/>
    <w:rsid w:val="1A513927"/>
    <w:rsid w:val="1A654388"/>
    <w:rsid w:val="1A693565"/>
    <w:rsid w:val="1A6D6D72"/>
    <w:rsid w:val="1A911621"/>
    <w:rsid w:val="1AB45F83"/>
    <w:rsid w:val="1AC67CAC"/>
    <w:rsid w:val="1ACB68E1"/>
    <w:rsid w:val="1ACC7CC8"/>
    <w:rsid w:val="1AD07837"/>
    <w:rsid w:val="1AD31C39"/>
    <w:rsid w:val="1AF30C7A"/>
    <w:rsid w:val="1B0353F5"/>
    <w:rsid w:val="1B0E7C1A"/>
    <w:rsid w:val="1B182126"/>
    <w:rsid w:val="1B285AE1"/>
    <w:rsid w:val="1B28788F"/>
    <w:rsid w:val="1B312DC5"/>
    <w:rsid w:val="1B322B1B"/>
    <w:rsid w:val="1B3C77A3"/>
    <w:rsid w:val="1B4606C6"/>
    <w:rsid w:val="1B5C1C2F"/>
    <w:rsid w:val="1B6C6194"/>
    <w:rsid w:val="1B6F1B8E"/>
    <w:rsid w:val="1B78119A"/>
    <w:rsid w:val="1B7D4190"/>
    <w:rsid w:val="1B8076CB"/>
    <w:rsid w:val="1BA23AE5"/>
    <w:rsid w:val="1BB24DE7"/>
    <w:rsid w:val="1BB742FA"/>
    <w:rsid w:val="1BB76E65"/>
    <w:rsid w:val="1BC924A1"/>
    <w:rsid w:val="1BCE25D7"/>
    <w:rsid w:val="1BD156A6"/>
    <w:rsid w:val="1BD54EB4"/>
    <w:rsid w:val="1BDE5270"/>
    <w:rsid w:val="1BF956CF"/>
    <w:rsid w:val="1BF95ED5"/>
    <w:rsid w:val="1BFF11C4"/>
    <w:rsid w:val="1C00023C"/>
    <w:rsid w:val="1C083CB8"/>
    <w:rsid w:val="1C273FEB"/>
    <w:rsid w:val="1C387503"/>
    <w:rsid w:val="1C483F1D"/>
    <w:rsid w:val="1C6E0AED"/>
    <w:rsid w:val="1C7535E6"/>
    <w:rsid w:val="1CBD5448"/>
    <w:rsid w:val="1CBF05BF"/>
    <w:rsid w:val="1CCB706C"/>
    <w:rsid w:val="1CE43C8A"/>
    <w:rsid w:val="1D0D782F"/>
    <w:rsid w:val="1D1D6812"/>
    <w:rsid w:val="1D2A34AD"/>
    <w:rsid w:val="1D57062F"/>
    <w:rsid w:val="1D6D1ED1"/>
    <w:rsid w:val="1D7C342E"/>
    <w:rsid w:val="1DAD6772"/>
    <w:rsid w:val="1DAE4F9B"/>
    <w:rsid w:val="1DB46794"/>
    <w:rsid w:val="1DBC793F"/>
    <w:rsid w:val="1DBD08D4"/>
    <w:rsid w:val="1DCA3975"/>
    <w:rsid w:val="1DD41F50"/>
    <w:rsid w:val="1DD43CFE"/>
    <w:rsid w:val="1DEC15DB"/>
    <w:rsid w:val="1DED0304"/>
    <w:rsid w:val="1DFA4BCA"/>
    <w:rsid w:val="1E037A02"/>
    <w:rsid w:val="1E186916"/>
    <w:rsid w:val="1E432C32"/>
    <w:rsid w:val="1E4F5A7B"/>
    <w:rsid w:val="1E537319"/>
    <w:rsid w:val="1E637854"/>
    <w:rsid w:val="1E96518D"/>
    <w:rsid w:val="1E984D2C"/>
    <w:rsid w:val="1E990AA4"/>
    <w:rsid w:val="1EC93675"/>
    <w:rsid w:val="1ED0674A"/>
    <w:rsid w:val="1EDD751C"/>
    <w:rsid w:val="1EE44415"/>
    <w:rsid w:val="1EE6018D"/>
    <w:rsid w:val="1F02343B"/>
    <w:rsid w:val="1F0965DD"/>
    <w:rsid w:val="1F0E4FEE"/>
    <w:rsid w:val="1F1476A0"/>
    <w:rsid w:val="1F2E1825"/>
    <w:rsid w:val="1F307F51"/>
    <w:rsid w:val="1F4038FA"/>
    <w:rsid w:val="1F4153C3"/>
    <w:rsid w:val="1F422EEA"/>
    <w:rsid w:val="1F446C62"/>
    <w:rsid w:val="1F4C5B16"/>
    <w:rsid w:val="1F503858"/>
    <w:rsid w:val="1F551EB4"/>
    <w:rsid w:val="1F594E69"/>
    <w:rsid w:val="1F6E3CDF"/>
    <w:rsid w:val="1F896D6A"/>
    <w:rsid w:val="1F947BE9"/>
    <w:rsid w:val="1F9A0F77"/>
    <w:rsid w:val="1FD15EDD"/>
    <w:rsid w:val="1FE30BCD"/>
    <w:rsid w:val="1FEB7691"/>
    <w:rsid w:val="1FEC3A03"/>
    <w:rsid w:val="201C7BDE"/>
    <w:rsid w:val="20207222"/>
    <w:rsid w:val="202820DF"/>
    <w:rsid w:val="20483D02"/>
    <w:rsid w:val="204B452C"/>
    <w:rsid w:val="20891098"/>
    <w:rsid w:val="208E1534"/>
    <w:rsid w:val="20B171C1"/>
    <w:rsid w:val="20B84966"/>
    <w:rsid w:val="20DE6C42"/>
    <w:rsid w:val="20F36B91"/>
    <w:rsid w:val="21052421"/>
    <w:rsid w:val="2111004A"/>
    <w:rsid w:val="21183C07"/>
    <w:rsid w:val="21224E39"/>
    <w:rsid w:val="2122794D"/>
    <w:rsid w:val="2132347E"/>
    <w:rsid w:val="2148274F"/>
    <w:rsid w:val="216058A9"/>
    <w:rsid w:val="216E7FC6"/>
    <w:rsid w:val="218E2416"/>
    <w:rsid w:val="21920158"/>
    <w:rsid w:val="21C052C8"/>
    <w:rsid w:val="21C86108"/>
    <w:rsid w:val="21DD63A5"/>
    <w:rsid w:val="21E36C06"/>
    <w:rsid w:val="21F6641D"/>
    <w:rsid w:val="225D2967"/>
    <w:rsid w:val="2260745F"/>
    <w:rsid w:val="227855A0"/>
    <w:rsid w:val="228757E3"/>
    <w:rsid w:val="228D4A12"/>
    <w:rsid w:val="229A553A"/>
    <w:rsid w:val="22B365D8"/>
    <w:rsid w:val="22D05D90"/>
    <w:rsid w:val="22F10EAE"/>
    <w:rsid w:val="22F1611C"/>
    <w:rsid w:val="22FB2D4B"/>
    <w:rsid w:val="22FB3ADB"/>
    <w:rsid w:val="230C7A96"/>
    <w:rsid w:val="232211A0"/>
    <w:rsid w:val="233308F6"/>
    <w:rsid w:val="23696C97"/>
    <w:rsid w:val="236E2B22"/>
    <w:rsid w:val="237A0EA4"/>
    <w:rsid w:val="239E7120"/>
    <w:rsid w:val="23AD6C4D"/>
    <w:rsid w:val="23DD452A"/>
    <w:rsid w:val="23DE44EE"/>
    <w:rsid w:val="23E34C9B"/>
    <w:rsid w:val="23E52BF7"/>
    <w:rsid w:val="23F25A1B"/>
    <w:rsid w:val="241067BA"/>
    <w:rsid w:val="241C1F5B"/>
    <w:rsid w:val="241C7DBD"/>
    <w:rsid w:val="24443260"/>
    <w:rsid w:val="247E49C4"/>
    <w:rsid w:val="248D0808"/>
    <w:rsid w:val="24925CBD"/>
    <w:rsid w:val="24A501A2"/>
    <w:rsid w:val="24A51F50"/>
    <w:rsid w:val="24A87D56"/>
    <w:rsid w:val="251A1081"/>
    <w:rsid w:val="252723FA"/>
    <w:rsid w:val="252E4315"/>
    <w:rsid w:val="25317C88"/>
    <w:rsid w:val="25484130"/>
    <w:rsid w:val="25512BA8"/>
    <w:rsid w:val="255D0A7D"/>
    <w:rsid w:val="25696C2E"/>
    <w:rsid w:val="256F255E"/>
    <w:rsid w:val="257858B7"/>
    <w:rsid w:val="25810BEE"/>
    <w:rsid w:val="2599171D"/>
    <w:rsid w:val="25BD4455"/>
    <w:rsid w:val="25CE197B"/>
    <w:rsid w:val="25D649BC"/>
    <w:rsid w:val="25D86356"/>
    <w:rsid w:val="25DB4DE3"/>
    <w:rsid w:val="25F7772B"/>
    <w:rsid w:val="2601604F"/>
    <w:rsid w:val="26173A9D"/>
    <w:rsid w:val="26320878"/>
    <w:rsid w:val="26422054"/>
    <w:rsid w:val="266B4E43"/>
    <w:rsid w:val="26700343"/>
    <w:rsid w:val="26747E2C"/>
    <w:rsid w:val="26772C78"/>
    <w:rsid w:val="267F5ACC"/>
    <w:rsid w:val="268E6BF0"/>
    <w:rsid w:val="26A050C5"/>
    <w:rsid w:val="26D07BC5"/>
    <w:rsid w:val="26D12B9F"/>
    <w:rsid w:val="26D96300"/>
    <w:rsid w:val="26FC7E22"/>
    <w:rsid w:val="270B01F6"/>
    <w:rsid w:val="270D3E41"/>
    <w:rsid w:val="273A7C58"/>
    <w:rsid w:val="274C7450"/>
    <w:rsid w:val="27633147"/>
    <w:rsid w:val="27737BD1"/>
    <w:rsid w:val="27830026"/>
    <w:rsid w:val="278B7B24"/>
    <w:rsid w:val="27B20448"/>
    <w:rsid w:val="27B5749C"/>
    <w:rsid w:val="27BC5F2F"/>
    <w:rsid w:val="27D13AFA"/>
    <w:rsid w:val="27DA4FB6"/>
    <w:rsid w:val="27EC77E5"/>
    <w:rsid w:val="27EE6E31"/>
    <w:rsid w:val="27F37477"/>
    <w:rsid w:val="28011B94"/>
    <w:rsid w:val="280B2281"/>
    <w:rsid w:val="28132854"/>
    <w:rsid w:val="281573ED"/>
    <w:rsid w:val="28305FD5"/>
    <w:rsid w:val="283F26BC"/>
    <w:rsid w:val="28461C9C"/>
    <w:rsid w:val="28572169"/>
    <w:rsid w:val="28594A45"/>
    <w:rsid w:val="286F11F3"/>
    <w:rsid w:val="287C44CA"/>
    <w:rsid w:val="289607B9"/>
    <w:rsid w:val="28B27332"/>
    <w:rsid w:val="29001DAB"/>
    <w:rsid w:val="29322C3B"/>
    <w:rsid w:val="295B37F7"/>
    <w:rsid w:val="296B2A0A"/>
    <w:rsid w:val="29982961"/>
    <w:rsid w:val="29CE5AA6"/>
    <w:rsid w:val="2A222295"/>
    <w:rsid w:val="2A2E0C3A"/>
    <w:rsid w:val="2A44045E"/>
    <w:rsid w:val="2A5206CF"/>
    <w:rsid w:val="2A6401B8"/>
    <w:rsid w:val="2A65738E"/>
    <w:rsid w:val="2A9D36CA"/>
    <w:rsid w:val="2AAE5148"/>
    <w:rsid w:val="2AD30362"/>
    <w:rsid w:val="2AD86C9A"/>
    <w:rsid w:val="2AF23A16"/>
    <w:rsid w:val="2B277B63"/>
    <w:rsid w:val="2B514F38"/>
    <w:rsid w:val="2B5621F6"/>
    <w:rsid w:val="2B595843"/>
    <w:rsid w:val="2B5F129D"/>
    <w:rsid w:val="2B644AE3"/>
    <w:rsid w:val="2B7462A4"/>
    <w:rsid w:val="2B81686E"/>
    <w:rsid w:val="2B913769"/>
    <w:rsid w:val="2BA03472"/>
    <w:rsid w:val="2BA6268E"/>
    <w:rsid w:val="2BB51456"/>
    <w:rsid w:val="2BBB02AC"/>
    <w:rsid w:val="2BCC070B"/>
    <w:rsid w:val="2BD001FB"/>
    <w:rsid w:val="2BD376AB"/>
    <w:rsid w:val="2C071B96"/>
    <w:rsid w:val="2C0C12C0"/>
    <w:rsid w:val="2C4900D0"/>
    <w:rsid w:val="2C52061F"/>
    <w:rsid w:val="2C520C10"/>
    <w:rsid w:val="2C557E64"/>
    <w:rsid w:val="2C70553A"/>
    <w:rsid w:val="2CB405CE"/>
    <w:rsid w:val="2CB847EB"/>
    <w:rsid w:val="2CBC42DB"/>
    <w:rsid w:val="2CC11743"/>
    <w:rsid w:val="2CE2162C"/>
    <w:rsid w:val="2CF33A75"/>
    <w:rsid w:val="2CFC27F3"/>
    <w:rsid w:val="2D070398"/>
    <w:rsid w:val="2D0A773C"/>
    <w:rsid w:val="2D0C3CE8"/>
    <w:rsid w:val="2D0F4D53"/>
    <w:rsid w:val="2D102879"/>
    <w:rsid w:val="2D185597"/>
    <w:rsid w:val="2D2C5FB8"/>
    <w:rsid w:val="2D486A1B"/>
    <w:rsid w:val="2D5621DC"/>
    <w:rsid w:val="2D594220"/>
    <w:rsid w:val="2D7C7C1C"/>
    <w:rsid w:val="2D8617C6"/>
    <w:rsid w:val="2D994C40"/>
    <w:rsid w:val="2DA52FC1"/>
    <w:rsid w:val="2DDE305F"/>
    <w:rsid w:val="2DE12C60"/>
    <w:rsid w:val="2DE26928"/>
    <w:rsid w:val="2DE955A4"/>
    <w:rsid w:val="2DFE7860"/>
    <w:rsid w:val="2E3A5DFF"/>
    <w:rsid w:val="2E687433"/>
    <w:rsid w:val="2E712088"/>
    <w:rsid w:val="2E8157DC"/>
    <w:rsid w:val="2E825AD2"/>
    <w:rsid w:val="2E992738"/>
    <w:rsid w:val="2EA339A5"/>
    <w:rsid w:val="2EA9088F"/>
    <w:rsid w:val="2EC51D18"/>
    <w:rsid w:val="2EC671E4"/>
    <w:rsid w:val="2ED51684"/>
    <w:rsid w:val="2EE23DA1"/>
    <w:rsid w:val="2EF2479E"/>
    <w:rsid w:val="2EF7784D"/>
    <w:rsid w:val="2EFB72A5"/>
    <w:rsid w:val="2F06074C"/>
    <w:rsid w:val="2F1E48F7"/>
    <w:rsid w:val="2F2D14C0"/>
    <w:rsid w:val="2F4F7689"/>
    <w:rsid w:val="2F65401A"/>
    <w:rsid w:val="2F70551E"/>
    <w:rsid w:val="2F8A5CCE"/>
    <w:rsid w:val="2F910D66"/>
    <w:rsid w:val="2F917175"/>
    <w:rsid w:val="2FB952B4"/>
    <w:rsid w:val="2FBD0A96"/>
    <w:rsid w:val="2FBE036A"/>
    <w:rsid w:val="2FC53D4A"/>
    <w:rsid w:val="2FE75097"/>
    <w:rsid w:val="2FF16992"/>
    <w:rsid w:val="2FF344B8"/>
    <w:rsid w:val="2FF35785"/>
    <w:rsid w:val="2FF81ACE"/>
    <w:rsid w:val="2FF9238E"/>
    <w:rsid w:val="30322514"/>
    <w:rsid w:val="304657BB"/>
    <w:rsid w:val="30556F21"/>
    <w:rsid w:val="30641927"/>
    <w:rsid w:val="30884956"/>
    <w:rsid w:val="30986E0D"/>
    <w:rsid w:val="30CB71E3"/>
    <w:rsid w:val="30DF7011"/>
    <w:rsid w:val="30F04DDC"/>
    <w:rsid w:val="310D15A9"/>
    <w:rsid w:val="310D3357"/>
    <w:rsid w:val="31126BC0"/>
    <w:rsid w:val="311A222F"/>
    <w:rsid w:val="311E37B6"/>
    <w:rsid w:val="3121514F"/>
    <w:rsid w:val="312C3DE1"/>
    <w:rsid w:val="313E1763"/>
    <w:rsid w:val="31483202"/>
    <w:rsid w:val="314964D6"/>
    <w:rsid w:val="31505D6B"/>
    <w:rsid w:val="31505E6B"/>
    <w:rsid w:val="3152632A"/>
    <w:rsid w:val="31593D93"/>
    <w:rsid w:val="316D2048"/>
    <w:rsid w:val="3171536C"/>
    <w:rsid w:val="318B242E"/>
    <w:rsid w:val="31B00383"/>
    <w:rsid w:val="31B71515"/>
    <w:rsid w:val="31CA11A2"/>
    <w:rsid w:val="31CF4AB1"/>
    <w:rsid w:val="31DE75C5"/>
    <w:rsid w:val="31E06CBE"/>
    <w:rsid w:val="31F12C79"/>
    <w:rsid w:val="320261C4"/>
    <w:rsid w:val="320327E8"/>
    <w:rsid w:val="32161AB2"/>
    <w:rsid w:val="321E3342"/>
    <w:rsid w:val="32263B47"/>
    <w:rsid w:val="324D479C"/>
    <w:rsid w:val="32601BAD"/>
    <w:rsid w:val="326453B1"/>
    <w:rsid w:val="32952F4C"/>
    <w:rsid w:val="32963820"/>
    <w:rsid w:val="32977AF8"/>
    <w:rsid w:val="32DE38BE"/>
    <w:rsid w:val="32F5468B"/>
    <w:rsid w:val="32FA3DAF"/>
    <w:rsid w:val="33197AA3"/>
    <w:rsid w:val="331E002D"/>
    <w:rsid w:val="33333DF2"/>
    <w:rsid w:val="33576B0C"/>
    <w:rsid w:val="337C2B86"/>
    <w:rsid w:val="33883169"/>
    <w:rsid w:val="33CC3776"/>
    <w:rsid w:val="33D76BD9"/>
    <w:rsid w:val="33FA13D4"/>
    <w:rsid w:val="33FE034B"/>
    <w:rsid w:val="34052934"/>
    <w:rsid w:val="3422536C"/>
    <w:rsid w:val="342E6AB2"/>
    <w:rsid w:val="342F1F88"/>
    <w:rsid w:val="34572B3B"/>
    <w:rsid w:val="34675474"/>
    <w:rsid w:val="348C6C89"/>
    <w:rsid w:val="34951FE2"/>
    <w:rsid w:val="34A244D0"/>
    <w:rsid w:val="34B71490"/>
    <w:rsid w:val="34BB131C"/>
    <w:rsid w:val="34C915A1"/>
    <w:rsid w:val="34D128B0"/>
    <w:rsid w:val="34D55CA6"/>
    <w:rsid w:val="34F767F8"/>
    <w:rsid w:val="35082F60"/>
    <w:rsid w:val="350B5E00"/>
    <w:rsid w:val="350C08BE"/>
    <w:rsid w:val="351433FA"/>
    <w:rsid w:val="351A24E7"/>
    <w:rsid w:val="353006C9"/>
    <w:rsid w:val="35417A73"/>
    <w:rsid w:val="355E1D88"/>
    <w:rsid w:val="35607CF6"/>
    <w:rsid w:val="359940BE"/>
    <w:rsid w:val="35BE2E72"/>
    <w:rsid w:val="35C372ED"/>
    <w:rsid w:val="35CB7E1E"/>
    <w:rsid w:val="35DC597F"/>
    <w:rsid w:val="35DD75FE"/>
    <w:rsid w:val="35DE4861"/>
    <w:rsid w:val="35E64B49"/>
    <w:rsid w:val="3627628E"/>
    <w:rsid w:val="362C24D2"/>
    <w:rsid w:val="36332F50"/>
    <w:rsid w:val="363F699E"/>
    <w:rsid w:val="36514DE1"/>
    <w:rsid w:val="36587F54"/>
    <w:rsid w:val="366E5800"/>
    <w:rsid w:val="367F63D3"/>
    <w:rsid w:val="368F0CB2"/>
    <w:rsid w:val="36B05A06"/>
    <w:rsid w:val="36B85B13"/>
    <w:rsid w:val="36B96B74"/>
    <w:rsid w:val="36DA2194"/>
    <w:rsid w:val="374558A4"/>
    <w:rsid w:val="374D6BA3"/>
    <w:rsid w:val="37503F9E"/>
    <w:rsid w:val="37542D46"/>
    <w:rsid w:val="37645A3B"/>
    <w:rsid w:val="3776777C"/>
    <w:rsid w:val="379D4064"/>
    <w:rsid w:val="37C14E9C"/>
    <w:rsid w:val="37C4673A"/>
    <w:rsid w:val="37E33064"/>
    <w:rsid w:val="381476C1"/>
    <w:rsid w:val="38284F1B"/>
    <w:rsid w:val="38305B7D"/>
    <w:rsid w:val="38310570"/>
    <w:rsid w:val="38365D05"/>
    <w:rsid w:val="383A6D6A"/>
    <w:rsid w:val="38463457"/>
    <w:rsid w:val="38563836"/>
    <w:rsid w:val="386C3BC6"/>
    <w:rsid w:val="38761738"/>
    <w:rsid w:val="387B329C"/>
    <w:rsid w:val="388E63CD"/>
    <w:rsid w:val="38977CDC"/>
    <w:rsid w:val="389E359A"/>
    <w:rsid w:val="38A97E48"/>
    <w:rsid w:val="38B63099"/>
    <w:rsid w:val="38B73D64"/>
    <w:rsid w:val="38C70290"/>
    <w:rsid w:val="38D806EF"/>
    <w:rsid w:val="38F65019"/>
    <w:rsid w:val="38FD63A7"/>
    <w:rsid w:val="391060DB"/>
    <w:rsid w:val="391334D5"/>
    <w:rsid w:val="391F1A18"/>
    <w:rsid w:val="39240C19"/>
    <w:rsid w:val="392B787A"/>
    <w:rsid w:val="392D2B72"/>
    <w:rsid w:val="39312653"/>
    <w:rsid w:val="393B1783"/>
    <w:rsid w:val="395104A1"/>
    <w:rsid w:val="39592C8F"/>
    <w:rsid w:val="395C290E"/>
    <w:rsid w:val="39693A3D"/>
    <w:rsid w:val="397F6DBC"/>
    <w:rsid w:val="39805D6E"/>
    <w:rsid w:val="39932868"/>
    <w:rsid w:val="399D7753"/>
    <w:rsid w:val="399D7AFF"/>
    <w:rsid w:val="39A60FA8"/>
    <w:rsid w:val="39A84565"/>
    <w:rsid w:val="39B06F76"/>
    <w:rsid w:val="39B25E48"/>
    <w:rsid w:val="39BC7DFD"/>
    <w:rsid w:val="39C649EB"/>
    <w:rsid w:val="39DB383C"/>
    <w:rsid w:val="3A1A5C49"/>
    <w:rsid w:val="3A227348"/>
    <w:rsid w:val="3A26548A"/>
    <w:rsid w:val="3A2D6818"/>
    <w:rsid w:val="3A2E488D"/>
    <w:rsid w:val="3A3E0559"/>
    <w:rsid w:val="3A7935FC"/>
    <w:rsid w:val="3A7E0E22"/>
    <w:rsid w:val="3A966BFF"/>
    <w:rsid w:val="3A971F7B"/>
    <w:rsid w:val="3AA27206"/>
    <w:rsid w:val="3AC22209"/>
    <w:rsid w:val="3B082DE1"/>
    <w:rsid w:val="3B1A0F83"/>
    <w:rsid w:val="3B265A76"/>
    <w:rsid w:val="3B390975"/>
    <w:rsid w:val="3B443337"/>
    <w:rsid w:val="3B5576EF"/>
    <w:rsid w:val="3B691AD2"/>
    <w:rsid w:val="3B7364AD"/>
    <w:rsid w:val="3B7E3B9C"/>
    <w:rsid w:val="3B8C57C0"/>
    <w:rsid w:val="3B9B5A04"/>
    <w:rsid w:val="3B9D641D"/>
    <w:rsid w:val="3BCE2366"/>
    <w:rsid w:val="3BEF38F1"/>
    <w:rsid w:val="3BFE7295"/>
    <w:rsid w:val="3C0555B2"/>
    <w:rsid w:val="3C065573"/>
    <w:rsid w:val="3C3C71E7"/>
    <w:rsid w:val="3C485B8B"/>
    <w:rsid w:val="3C4C3631"/>
    <w:rsid w:val="3C4F0B4F"/>
    <w:rsid w:val="3C7A0A20"/>
    <w:rsid w:val="3C914A84"/>
    <w:rsid w:val="3C951C20"/>
    <w:rsid w:val="3CA465F3"/>
    <w:rsid w:val="3CAD1E92"/>
    <w:rsid w:val="3CB43221"/>
    <w:rsid w:val="3CCF3BB7"/>
    <w:rsid w:val="3CE11114"/>
    <w:rsid w:val="3D0A1093"/>
    <w:rsid w:val="3D136199"/>
    <w:rsid w:val="3D186F6A"/>
    <w:rsid w:val="3D1C6E70"/>
    <w:rsid w:val="3D2E2FD3"/>
    <w:rsid w:val="3D496DB4"/>
    <w:rsid w:val="3D536596"/>
    <w:rsid w:val="3D6709BE"/>
    <w:rsid w:val="3D6C76C2"/>
    <w:rsid w:val="3D762284"/>
    <w:rsid w:val="3D78388C"/>
    <w:rsid w:val="3D9A1050"/>
    <w:rsid w:val="3D9E45C6"/>
    <w:rsid w:val="3DAE2EBA"/>
    <w:rsid w:val="3DCE0312"/>
    <w:rsid w:val="3DE770C2"/>
    <w:rsid w:val="3E017017"/>
    <w:rsid w:val="3E076F1C"/>
    <w:rsid w:val="3E155FE5"/>
    <w:rsid w:val="3E273A11"/>
    <w:rsid w:val="3E2E18E1"/>
    <w:rsid w:val="3E525E27"/>
    <w:rsid w:val="3E5F45E9"/>
    <w:rsid w:val="3E6976D5"/>
    <w:rsid w:val="3E746592"/>
    <w:rsid w:val="3E762588"/>
    <w:rsid w:val="3E8517F7"/>
    <w:rsid w:val="3E946AF8"/>
    <w:rsid w:val="3EA1722B"/>
    <w:rsid w:val="3EB260D6"/>
    <w:rsid w:val="3EBC7034"/>
    <w:rsid w:val="3ED71FF0"/>
    <w:rsid w:val="3EE46D5C"/>
    <w:rsid w:val="3EEA641F"/>
    <w:rsid w:val="3EEB6C17"/>
    <w:rsid w:val="3EFB5264"/>
    <w:rsid w:val="3F035D9A"/>
    <w:rsid w:val="3F1461F9"/>
    <w:rsid w:val="3F261A88"/>
    <w:rsid w:val="3F3F2FD1"/>
    <w:rsid w:val="3F43663F"/>
    <w:rsid w:val="3F494E6B"/>
    <w:rsid w:val="3F4F0FDF"/>
    <w:rsid w:val="3F553395"/>
    <w:rsid w:val="3F786788"/>
    <w:rsid w:val="3F854A01"/>
    <w:rsid w:val="3F8F3AD1"/>
    <w:rsid w:val="3FC75019"/>
    <w:rsid w:val="3FDE48BE"/>
    <w:rsid w:val="3FE91433"/>
    <w:rsid w:val="3FF027C2"/>
    <w:rsid w:val="3FF4061B"/>
    <w:rsid w:val="3FFA719D"/>
    <w:rsid w:val="3FFF1934"/>
    <w:rsid w:val="4004648D"/>
    <w:rsid w:val="40186F8C"/>
    <w:rsid w:val="40420B44"/>
    <w:rsid w:val="404A5243"/>
    <w:rsid w:val="406D3CE7"/>
    <w:rsid w:val="407526A4"/>
    <w:rsid w:val="407C4056"/>
    <w:rsid w:val="40845E49"/>
    <w:rsid w:val="40A86BF9"/>
    <w:rsid w:val="40BE4471"/>
    <w:rsid w:val="40E1035D"/>
    <w:rsid w:val="411005E8"/>
    <w:rsid w:val="41114F25"/>
    <w:rsid w:val="41447E22"/>
    <w:rsid w:val="41474E76"/>
    <w:rsid w:val="414A4154"/>
    <w:rsid w:val="41522A86"/>
    <w:rsid w:val="41593F6B"/>
    <w:rsid w:val="41685208"/>
    <w:rsid w:val="416F5968"/>
    <w:rsid w:val="417E5516"/>
    <w:rsid w:val="417E7288"/>
    <w:rsid w:val="418B7876"/>
    <w:rsid w:val="418F49EA"/>
    <w:rsid w:val="41B31CF9"/>
    <w:rsid w:val="41CF4659"/>
    <w:rsid w:val="41FB36A0"/>
    <w:rsid w:val="41FE1F8D"/>
    <w:rsid w:val="42213106"/>
    <w:rsid w:val="422C3859"/>
    <w:rsid w:val="42426BD9"/>
    <w:rsid w:val="42545CAF"/>
    <w:rsid w:val="42813BA5"/>
    <w:rsid w:val="428A2783"/>
    <w:rsid w:val="429A3C84"/>
    <w:rsid w:val="42E443F3"/>
    <w:rsid w:val="42E67EAC"/>
    <w:rsid w:val="42F97BDF"/>
    <w:rsid w:val="43045C0F"/>
    <w:rsid w:val="4309762C"/>
    <w:rsid w:val="431272F0"/>
    <w:rsid w:val="43135B73"/>
    <w:rsid w:val="43326BAB"/>
    <w:rsid w:val="433E238F"/>
    <w:rsid w:val="434703D0"/>
    <w:rsid w:val="435968D0"/>
    <w:rsid w:val="435E7877"/>
    <w:rsid w:val="436117D4"/>
    <w:rsid w:val="43664B49"/>
    <w:rsid w:val="43782F65"/>
    <w:rsid w:val="43785535"/>
    <w:rsid w:val="43866DF2"/>
    <w:rsid w:val="43A169EA"/>
    <w:rsid w:val="43A66DE0"/>
    <w:rsid w:val="43AF6CB4"/>
    <w:rsid w:val="43AF7095"/>
    <w:rsid w:val="43B3590D"/>
    <w:rsid w:val="43B85AB3"/>
    <w:rsid w:val="43B95287"/>
    <w:rsid w:val="43CC70A2"/>
    <w:rsid w:val="43DE0B83"/>
    <w:rsid w:val="43E20674"/>
    <w:rsid w:val="44123DA4"/>
    <w:rsid w:val="44291151"/>
    <w:rsid w:val="442944F4"/>
    <w:rsid w:val="44427364"/>
    <w:rsid w:val="44654E01"/>
    <w:rsid w:val="44703ED1"/>
    <w:rsid w:val="44762A3D"/>
    <w:rsid w:val="44976870"/>
    <w:rsid w:val="44B729CE"/>
    <w:rsid w:val="44C85ABB"/>
    <w:rsid w:val="44E158D6"/>
    <w:rsid w:val="450067EC"/>
    <w:rsid w:val="45172264"/>
    <w:rsid w:val="45237005"/>
    <w:rsid w:val="454809AA"/>
    <w:rsid w:val="457C1EE7"/>
    <w:rsid w:val="45920AF2"/>
    <w:rsid w:val="459A7B85"/>
    <w:rsid w:val="459D0FAB"/>
    <w:rsid w:val="45AC19CC"/>
    <w:rsid w:val="45BC6CA2"/>
    <w:rsid w:val="45EF7078"/>
    <w:rsid w:val="4605689B"/>
    <w:rsid w:val="46137519"/>
    <w:rsid w:val="46252A99"/>
    <w:rsid w:val="46333408"/>
    <w:rsid w:val="46357180"/>
    <w:rsid w:val="46377F7D"/>
    <w:rsid w:val="46402205"/>
    <w:rsid w:val="465F6C1E"/>
    <w:rsid w:val="46611B8C"/>
    <w:rsid w:val="467C4DAF"/>
    <w:rsid w:val="46804AC7"/>
    <w:rsid w:val="46810B28"/>
    <w:rsid w:val="468236C6"/>
    <w:rsid w:val="468947E0"/>
    <w:rsid w:val="46A61E2C"/>
    <w:rsid w:val="46AA796A"/>
    <w:rsid w:val="46B636FC"/>
    <w:rsid w:val="46C54B26"/>
    <w:rsid w:val="470628CB"/>
    <w:rsid w:val="474F17A4"/>
    <w:rsid w:val="474F47BA"/>
    <w:rsid w:val="4760647F"/>
    <w:rsid w:val="477B5F15"/>
    <w:rsid w:val="47A0687C"/>
    <w:rsid w:val="47A63C85"/>
    <w:rsid w:val="47CC1972"/>
    <w:rsid w:val="47D1092E"/>
    <w:rsid w:val="47D1725C"/>
    <w:rsid w:val="47F00E85"/>
    <w:rsid w:val="47F7235A"/>
    <w:rsid w:val="47F8086D"/>
    <w:rsid w:val="48060346"/>
    <w:rsid w:val="480F3A01"/>
    <w:rsid w:val="48195A2E"/>
    <w:rsid w:val="481A3A9E"/>
    <w:rsid w:val="484336AB"/>
    <w:rsid w:val="48434C98"/>
    <w:rsid w:val="4855001F"/>
    <w:rsid w:val="485D29BF"/>
    <w:rsid w:val="485D462D"/>
    <w:rsid w:val="48671147"/>
    <w:rsid w:val="487A3C1A"/>
    <w:rsid w:val="488B4A09"/>
    <w:rsid w:val="488E0BAD"/>
    <w:rsid w:val="48AA4D31"/>
    <w:rsid w:val="48BD34D6"/>
    <w:rsid w:val="48BD520B"/>
    <w:rsid w:val="48C928D2"/>
    <w:rsid w:val="48FD385A"/>
    <w:rsid w:val="4900334A"/>
    <w:rsid w:val="490948F4"/>
    <w:rsid w:val="4916602E"/>
    <w:rsid w:val="49176C25"/>
    <w:rsid w:val="497A75A0"/>
    <w:rsid w:val="49877D6A"/>
    <w:rsid w:val="4993288F"/>
    <w:rsid w:val="49AC7F83"/>
    <w:rsid w:val="49B51BAE"/>
    <w:rsid w:val="49B56541"/>
    <w:rsid w:val="49BD2527"/>
    <w:rsid w:val="49CF169A"/>
    <w:rsid w:val="49D765D8"/>
    <w:rsid w:val="49E96915"/>
    <w:rsid w:val="49F0391B"/>
    <w:rsid w:val="4A015C45"/>
    <w:rsid w:val="4A037596"/>
    <w:rsid w:val="4A0D37A6"/>
    <w:rsid w:val="4A1279BF"/>
    <w:rsid w:val="4A1C0B4B"/>
    <w:rsid w:val="4A1C51FA"/>
    <w:rsid w:val="4A1D136F"/>
    <w:rsid w:val="4A2C791A"/>
    <w:rsid w:val="4A407EA2"/>
    <w:rsid w:val="4A6107E8"/>
    <w:rsid w:val="4A6B1DF5"/>
    <w:rsid w:val="4A722025"/>
    <w:rsid w:val="4A9E38E2"/>
    <w:rsid w:val="4AB16FF2"/>
    <w:rsid w:val="4ACB00B3"/>
    <w:rsid w:val="4ACE24AA"/>
    <w:rsid w:val="4AD625B4"/>
    <w:rsid w:val="4AE53698"/>
    <w:rsid w:val="4AF929BB"/>
    <w:rsid w:val="4B004857"/>
    <w:rsid w:val="4B0B6702"/>
    <w:rsid w:val="4B11745C"/>
    <w:rsid w:val="4B3D416A"/>
    <w:rsid w:val="4B553E21"/>
    <w:rsid w:val="4B7324F9"/>
    <w:rsid w:val="4B75001F"/>
    <w:rsid w:val="4B9F4176"/>
    <w:rsid w:val="4BB2440B"/>
    <w:rsid w:val="4BBF181D"/>
    <w:rsid w:val="4BF74ED8"/>
    <w:rsid w:val="4C002553"/>
    <w:rsid w:val="4C1E2465"/>
    <w:rsid w:val="4C24253D"/>
    <w:rsid w:val="4C2B6208"/>
    <w:rsid w:val="4C405568"/>
    <w:rsid w:val="4C447F29"/>
    <w:rsid w:val="4C575977"/>
    <w:rsid w:val="4C6267F5"/>
    <w:rsid w:val="4C6912A9"/>
    <w:rsid w:val="4C771B75"/>
    <w:rsid w:val="4C8272C8"/>
    <w:rsid w:val="4C8C713F"/>
    <w:rsid w:val="4CAA1F4A"/>
    <w:rsid w:val="4CC56D84"/>
    <w:rsid w:val="4CD34FFD"/>
    <w:rsid w:val="4CFB09F8"/>
    <w:rsid w:val="4D134D83"/>
    <w:rsid w:val="4D4D27E3"/>
    <w:rsid w:val="4D6E6AAF"/>
    <w:rsid w:val="4D803138"/>
    <w:rsid w:val="4D8E6C34"/>
    <w:rsid w:val="4D9D385D"/>
    <w:rsid w:val="4D9E4411"/>
    <w:rsid w:val="4DB7491F"/>
    <w:rsid w:val="4DC66BE6"/>
    <w:rsid w:val="4DD27D5A"/>
    <w:rsid w:val="4DE67A00"/>
    <w:rsid w:val="4DFF1AA1"/>
    <w:rsid w:val="4E085533"/>
    <w:rsid w:val="4E094A4F"/>
    <w:rsid w:val="4E0976AB"/>
    <w:rsid w:val="4E1753BE"/>
    <w:rsid w:val="4E1F1702"/>
    <w:rsid w:val="4E687929"/>
    <w:rsid w:val="4E6C2270"/>
    <w:rsid w:val="4E7E368F"/>
    <w:rsid w:val="4E931338"/>
    <w:rsid w:val="4EB3343D"/>
    <w:rsid w:val="4EB34377"/>
    <w:rsid w:val="4EB42C0C"/>
    <w:rsid w:val="4EC67215"/>
    <w:rsid w:val="4ED4505D"/>
    <w:rsid w:val="4ED82D9F"/>
    <w:rsid w:val="4EF770CB"/>
    <w:rsid w:val="4F05790C"/>
    <w:rsid w:val="4F39683E"/>
    <w:rsid w:val="4F4E12B3"/>
    <w:rsid w:val="4F6A776F"/>
    <w:rsid w:val="4F7D74A2"/>
    <w:rsid w:val="4FA15887"/>
    <w:rsid w:val="4FA34B34"/>
    <w:rsid w:val="4FB31116"/>
    <w:rsid w:val="4FBD6BF1"/>
    <w:rsid w:val="4FC357FD"/>
    <w:rsid w:val="4FC6067D"/>
    <w:rsid w:val="4FCE7A0A"/>
    <w:rsid w:val="50175D29"/>
    <w:rsid w:val="501F1A47"/>
    <w:rsid w:val="50416775"/>
    <w:rsid w:val="506660F1"/>
    <w:rsid w:val="50700F74"/>
    <w:rsid w:val="509B1A23"/>
    <w:rsid w:val="50BC224C"/>
    <w:rsid w:val="50C0143E"/>
    <w:rsid w:val="50EF3FAB"/>
    <w:rsid w:val="50F84542"/>
    <w:rsid w:val="51031C29"/>
    <w:rsid w:val="51143E36"/>
    <w:rsid w:val="512613FD"/>
    <w:rsid w:val="51265514"/>
    <w:rsid w:val="51296E20"/>
    <w:rsid w:val="512F3572"/>
    <w:rsid w:val="515B7CB7"/>
    <w:rsid w:val="515D57DD"/>
    <w:rsid w:val="515E5734"/>
    <w:rsid w:val="515F265D"/>
    <w:rsid w:val="519C4558"/>
    <w:rsid w:val="51AC0513"/>
    <w:rsid w:val="51C47ACD"/>
    <w:rsid w:val="51D75590"/>
    <w:rsid w:val="51DE1B43"/>
    <w:rsid w:val="51E94C1F"/>
    <w:rsid w:val="51EB2DE9"/>
    <w:rsid w:val="520D3918"/>
    <w:rsid w:val="521F448D"/>
    <w:rsid w:val="522827C6"/>
    <w:rsid w:val="523E560F"/>
    <w:rsid w:val="523E6518"/>
    <w:rsid w:val="52426CE1"/>
    <w:rsid w:val="524E1B29"/>
    <w:rsid w:val="525D691E"/>
    <w:rsid w:val="52632C58"/>
    <w:rsid w:val="527C76A6"/>
    <w:rsid w:val="52804889"/>
    <w:rsid w:val="528A2602"/>
    <w:rsid w:val="52B92F75"/>
    <w:rsid w:val="52C06024"/>
    <w:rsid w:val="52CF76CA"/>
    <w:rsid w:val="52D941BD"/>
    <w:rsid w:val="52DC5818"/>
    <w:rsid w:val="52DE1F32"/>
    <w:rsid w:val="52F1442F"/>
    <w:rsid w:val="53202487"/>
    <w:rsid w:val="532A16EF"/>
    <w:rsid w:val="53326F35"/>
    <w:rsid w:val="535719AF"/>
    <w:rsid w:val="53685DC3"/>
    <w:rsid w:val="53A25729"/>
    <w:rsid w:val="53AA2A01"/>
    <w:rsid w:val="53AE752F"/>
    <w:rsid w:val="53B8319F"/>
    <w:rsid w:val="53EB5E3E"/>
    <w:rsid w:val="54046D5C"/>
    <w:rsid w:val="540D5E1D"/>
    <w:rsid w:val="540E0E3F"/>
    <w:rsid w:val="541128AF"/>
    <w:rsid w:val="54177AB0"/>
    <w:rsid w:val="542919A7"/>
    <w:rsid w:val="542B642E"/>
    <w:rsid w:val="54387E3C"/>
    <w:rsid w:val="5451304A"/>
    <w:rsid w:val="54534F70"/>
    <w:rsid w:val="54605D47"/>
    <w:rsid w:val="546221FB"/>
    <w:rsid w:val="546B4511"/>
    <w:rsid w:val="54BD7A0F"/>
    <w:rsid w:val="54C0055D"/>
    <w:rsid w:val="54CD2C7A"/>
    <w:rsid w:val="54F1040F"/>
    <w:rsid w:val="54F621D1"/>
    <w:rsid w:val="55004DFD"/>
    <w:rsid w:val="552D3354"/>
    <w:rsid w:val="55486DD7"/>
    <w:rsid w:val="554C495B"/>
    <w:rsid w:val="558D7E67"/>
    <w:rsid w:val="55B55408"/>
    <w:rsid w:val="55D27501"/>
    <w:rsid w:val="55DB4F23"/>
    <w:rsid w:val="5608075A"/>
    <w:rsid w:val="56293EE0"/>
    <w:rsid w:val="56301712"/>
    <w:rsid w:val="563F54B2"/>
    <w:rsid w:val="566B274A"/>
    <w:rsid w:val="569A4DDE"/>
    <w:rsid w:val="569F6CEC"/>
    <w:rsid w:val="56BB686A"/>
    <w:rsid w:val="56C86B61"/>
    <w:rsid w:val="56D976B4"/>
    <w:rsid w:val="56E34278"/>
    <w:rsid w:val="56F72230"/>
    <w:rsid w:val="56F8518D"/>
    <w:rsid w:val="56FC15F5"/>
    <w:rsid w:val="57071EFB"/>
    <w:rsid w:val="572E3B80"/>
    <w:rsid w:val="574A4477"/>
    <w:rsid w:val="5755418B"/>
    <w:rsid w:val="575C1911"/>
    <w:rsid w:val="5779380E"/>
    <w:rsid w:val="579228CF"/>
    <w:rsid w:val="579D6934"/>
    <w:rsid w:val="57AD13F7"/>
    <w:rsid w:val="57B61657"/>
    <w:rsid w:val="57CD2643"/>
    <w:rsid w:val="57E24C8E"/>
    <w:rsid w:val="57E50508"/>
    <w:rsid w:val="5805272B"/>
    <w:rsid w:val="581367A6"/>
    <w:rsid w:val="581F6955"/>
    <w:rsid w:val="582D573F"/>
    <w:rsid w:val="5838665C"/>
    <w:rsid w:val="58483963"/>
    <w:rsid w:val="585B467E"/>
    <w:rsid w:val="58616610"/>
    <w:rsid w:val="58864000"/>
    <w:rsid w:val="588B22FF"/>
    <w:rsid w:val="589469D9"/>
    <w:rsid w:val="58A14BBC"/>
    <w:rsid w:val="58C15A31"/>
    <w:rsid w:val="58E43355"/>
    <w:rsid w:val="58E665AE"/>
    <w:rsid w:val="58EF353A"/>
    <w:rsid w:val="591757EC"/>
    <w:rsid w:val="59205A6E"/>
    <w:rsid w:val="592369E6"/>
    <w:rsid w:val="59273FBA"/>
    <w:rsid w:val="59327287"/>
    <w:rsid w:val="595B0854"/>
    <w:rsid w:val="596945E9"/>
    <w:rsid w:val="598765A3"/>
    <w:rsid w:val="599035FD"/>
    <w:rsid w:val="59A857F1"/>
    <w:rsid w:val="59C90A06"/>
    <w:rsid w:val="59DB7BE7"/>
    <w:rsid w:val="59F72B17"/>
    <w:rsid w:val="5A0C5FF2"/>
    <w:rsid w:val="5A105AE3"/>
    <w:rsid w:val="5A1251E1"/>
    <w:rsid w:val="5A405C9C"/>
    <w:rsid w:val="5A4C3B3E"/>
    <w:rsid w:val="5A5532CF"/>
    <w:rsid w:val="5A584D94"/>
    <w:rsid w:val="5A634DFB"/>
    <w:rsid w:val="5A7312A0"/>
    <w:rsid w:val="5A7871E4"/>
    <w:rsid w:val="5A79271A"/>
    <w:rsid w:val="5ADE2869"/>
    <w:rsid w:val="5AEB08A7"/>
    <w:rsid w:val="5B152C85"/>
    <w:rsid w:val="5B5254FB"/>
    <w:rsid w:val="5B5B66DC"/>
    <w:rsid w:val="5B5C7615"/>
    <w:rsid w:val="5B6A162C"/>
    <w:rsid w:val="5B863B83"/>
    <w:rsid w:val="5B8D63AC"/>
    <w:rsid w:val="5B8E36FB"/>
    <w:rsid w:val="5BB701E0"/>
    <w:rsid w:val="5BB93F58"/>
    <w:rsid w:val="5BC85F49"/>
    <w:rsid w:val="5BFB4366"/>
    <w:rsid w:val="5BFC6F6A"/>
    <w:rsid w:val="5C1B076F"/>
    <w:rsid w:val="5C2859B8"/>
    <w:rsid w:val="5C2F421A"/>
    <w:rsid w:val="5C307DD2"/>
    <w:rsid w:val="5C37394C"/>
    <w:rsid w:val="5C392920"/>
    <w:rsid w:val="5C567452"/>
    <w:rsid w:val="5C574816"/>
    <w:rsid w:val="5C5934B7"/>
    <w:rsid w:val="5C5B0B6B"/>
    <w:rsid w:val="5C7B35C9"/>
    <w:rsid w:val="5C8005D2"/>
    <w:rsid w:val="5CA72002"/>
    <w:rsid w:val="5CB323C9"/>
    <w:rsid w:val="5CBF3AD3"/>
    <w:rsid w:val="5CCF02E3"/>
    <w:rsid w:val="5CF8460C"/>
    <w:rsid w:val="5D01492A"/>
    <w:rsid w:val="5D2252A3"/>
    <w:rsid w:val="5D2667F5"/>
    <w:rsid w:val="5D310ED7"/>
    <w:rsid w:val="5D355860"/>
    <w:rsid w:val="5D36056C"/>
    <w:rsid w:val="5D406F09"/>
    <w:rsid w:val="5D495CFE"/>
    <w:rsid w:val="5D5C7C44"/>
    <w:rsid w:val="5D734E56"/>
    <w:rsid w:val="5D7D5E0E"/>
    <w:rsid w:val="5D9316A5"/>
    <w:rsid w:val="5D9C190F"/>
    <w:rsid w:val="5DB1138B"/>
    <w:rsid w:val="5DC75882"/>
    <w:rsid w:val="5DE4797B"/>
    <w:rsid w:val="5DE6427A"/>
    <w:rsid w:val="5E160087"/>
    <w:rsid w:val="5E1D51C7"/>
    <w:rsid w:val="5E3308A2"/>
    <w:rsid w:val="5E382E9C"/>
    <w:rsid w:val="5E3D2D5C"/>
    <w:rsid w:val="5E597218"/>
    <w:rsid w:val="5E607240"/>
    <w:rsid w:val="5E6301AB"/>
    <w:rsid w:val="5E7A20FA"/>
    <w:rsid w:val="5E972EC7"/>
    <w:rsid w:val="5EA008EA"/>
    <w:rsid w:val="5ECB28DF"/>
    <w:rsid w:val="5EF60C1C"/>
    <w:rsid w:val="5F147E07"/>
    <w:rsid w:val="5F3F4774"/>
    <w:rsid w:val="5F4B136B"/>
    <w:rsid w:val="5F8529C6"/>
    <w:rsid w:val="5F887568"/>
    <w:rsid w:val="5F944FE5"/>
    <w:rsid w:val="5F996242"/>
    <w:rsid w:val="5F9C34CF"/>
    <w:rsid w:val="5FB058C0"/>
    <w:rsid w:val="5FC52828"/>
    <w:rsid w:val="5FF12CB7"/>
    <w:rsid w:val="5FF9339D"/>
    <w:rsid w:val="60025ECE"/>
    <w:rsid w:val="6016160C"/>
    <w:rsid w:val="6026252E"/>
    <w:rsid w:val="604A0FC0"/>
    <w:rsid w:val="605C29E7"/>
    <w:rsid w:val="606F2948"/>
    <w:rsid w:val="607E5A53"/>
    <w:rsid w:val="60805044"/>
    <w:rsid w:val="609829AE"/>
    <w:rsid w:val="6098413C"/>
    <w:rsid w:val="60A34518"/>
    <w:rsid w:val="60B533FC"/>
    <w:rsid w:val="60E71ECF"/>
    <w:rsid w:val="60F25C64"/>
    <w:rsid w:val="615C3B75"/>
    <w:rsid w:val="61634A96"/>
    <w:rsid w:val="61693EB7"/>
    <w:rsid w:val="616C4586"/>
    <w:rsid w:val="618574EF"/>
    <w:rsid w:val="61897F29"/>
    <w:rsid w:val="61922C2C"/>
    <w:rsid w:val="61B01959"/>
    <w:rsid w:val="61B076A7"/>
    <w:rsid w:val="61B431F8"/>
    <w:rsid w:val="61E15FB7"/>
    <w:rsid w:val="61E237E7"/>
    <w:rsid w:val="61F050AA"/>
    <w:rsid w:val="620121B5"/>
    <w:rsid w:val="62165F89"/>
    <w:rsid w:val="62181329"/>
    <w:rsid w:val="621E0418"/>
    <w:rsid w:val="62361BC0"/>
    <w:rsid w:val="62600371"/>
    <w:rsid w:val="62647FA7"/>
    <w:rsid w:val="62662018"/>
    <w:rsid w:val="626970D8"/>
    <w:rsid w:val="626B7A9E"/>
    <w:rsid w:val="626F711E"/>
    <w:rsid w:val="628350AF"/>
    <w:rsid w:val="62917095"/>
    <w:rsid w:val="629B75A4"/>
    <w:rsid w:val="62AE1CFD"/>
    <w:rsid w:val="62AF0244"/>
    <w:rsid w:val="62B30528"/>
    <w:rsid w:val="62B31701"/>
    <w:rsid w:val="63071A4D"/>
    <w:rsid w:val="630A5099"/>
    <w:rsid w:val="631303F2"/>
    <w:rsid w:val="632679EE"/>
    <w:rsid w:val="632A1297"/>
    <w:rsid w:val="633914DA"/>
    <w:rsid w:val="633E4EB1"/>
    <w:rsid w:val="63402869"/>
    <w:rsid w:val="634126CF"/>
    <w:rsid w:val="634B549F"/>
    <w:rsid w:val="6353510B"/>
    <w:rsid w:val="635F0273"/>
    <w:rsid w:val="635F7375"/>
    <w:rsid w:val="63770981"/>
    <w:rsid w:val="638448A7"/>
    <w:rsid w:val="63864661"/>
    <w:rsid w:val="63912B14"/>
    <w:rsid w:val="63EE6DBE"/>
    <w:rsid w:val="64124205"/>
    <w:rsid w:val="641D655D"/>
    <w:rsid w:val="644055E3"/>
    <w:rsid w:val="644545DB"/>
    <w:rsid w:val="645224A9"/>
    <w:rsid w:val="645B3DFE"/>
    <w:rsid w:val="64694AED"/>
    <w:rsid w:val="64CA4EC2"/>
    <w:rsid w:val="64D140C0"/>
    <w:rsid w:val="64DF4A2F"/>
    <w:rsid w:val="64EC2CA8"/>
    <w:rsid w:val="64F86EC8"/>
    <w:rsid w:val="64FF16AF"/>
    <w:rsid w:val="653B778C"/>
    <w:rsid w:val="654900FB"/>
    <w:rsid w:val="655A4D8E"/>
    <w:rsid w:val="655A669E"/>
    <w:rsid w:val="655B2CBD"/>
    <w:rsid w:val="655B398A"/>
    <w:rsid w:val="657617E2"/>
    <w:rsid w:val="6576251B"/>
    <w:rsid w:val="658E5B0E"/>
    <w:rsid w:val="658E6328"/>
    <w:rsid w:val="65962C14"/>
    <w:rsid w:val="65A911DD"/>
    <w:rsid w:val="65AB66C0"/>
    <w:rsid w:val="65AC2438"/>
    <w:rsid w:val="65D025CA"/>
    <w:rsid w:val="65E25C76"/>
    <w:rsid w:val="65E41BD1"/>
    <w:rsid w:val="65E6594A"/>
    <w:rsid w:val="65F06063"/>
    <w:rsid w:val="65F8742B"/>
    <w:rsid w:val="661651B5"/>
    <w:rsid w:val="661F0E5C"/>
    <w:rsid w:val="662B3C7C"/>
    <w:rsid w:val="663366B5"/>
    <w:rsid w:val="666D7E19"/>
    <w:rsid w:val="667216FA"/>
    <w:rsid w:val="668C0465"/>
    <w:rsid w:val="669F1064"/>
    <w:rsid w:val="66A31A8D"/>
    <w:rsid w:val="66A56C29"/>
    <w:rsid w:val="66AA193F"/>
    <w:rsid w:val="66BB5028"/>
    <w:rsid w:val="66D37353"/>
    <w:rsid w:val="66E0683D"/>
    <w:rsid w:val="67102E27"/>
    <w:rsid w:val="672A2D9B"/>
    <w:rsid w:val="67622DF5"/>
    <w:rsid w:val="67780823"/>
    <w:rsid w:val="677E4A3D"/>
    <w:rsid w:val="67900263"/>
    <w:rsid w:val="679F2119"/>
    <w:rsid w:val="67A704F3"/>
    <w:rsid w:val="67B16DEC"/>
    <w:rsid w:val="67B3300F"/>
    <w:rsid w:val="67D5211A"/>
    <w:rsid w:val="67D7383E"/>
    <w:rsid w:val="67D94545"/>
    <w:rsid w:val="67DA57C2"/>
    <w:rsid w:val="67EB51FC"/>
    <w:rsid w:val="682732A7"/>
    <w:rsid w:val="68273612"/>
    <w:rsid w:val="682E13BE"/>
    <w:rsid w:val="682E5386"/>
    <w:rsid w:val="683E1A6D"/>
    <w:rsid w:val="68524E43"/>
    <w:rsid w:val="68582421"/>
    <w:rsid w:val="685F2474"/>
    <w:rsid w:val="68682EB7"/>
    <w:rsid w:val="687E0F75"/>
    <w:rsid w:val="688A7410"/>
    <w:rsid w:val="689D5018"/>
    <w:rsid w:val="68AB01DA"/>
    <w:rsid w:val="68AB4C28"/>
    <w:rsid w:val="68AC4F32"/>
    <w:rsid w:val="68B20A9E"/>
    <w:rsid w:val="68BA4E6C"/>
    <w:rsid w:val="68C901BB"/>
    <w:rsid w:val="68DC4DE2"/>
    <w:rsid w:val="68DE0B5A"/>
    <w:rsid w:val="68EA3626"/>
    <w:rsid w:val="68F4037D"/>
    <w:rsid w:val="69034A64"/>
    <w:rsid w:val="690A2354"/>
    <w:rsid w:val="69206255"/>
    <w:rsid w:val="692A3D9F"/>
    <w:rsid w:val="692F7608"/>
    <w:rsid w:val="69456E2B"/>
    <w:rsid w:val="695D5F23"/>
    <w:rsid w:val="69613CB4"/>
    <w:rsid w:val="697238AA"/>
    <w:rsid w:val="69765746"/>
    <w:rsid w:val="69833542"/>
    <w:rsid w:val="69AE49D0"/>
    <w:rsid w:val="69CA13F4"/>
    <w:rsid w:val="69DC7118"/>
    <w:rsid w:val="69EA26B3"/>
    <w:rsid w:val="69EF33C0"/>
    <w:rsid w:val="69F05CE0"/>
    <w:rsid w:val="69F93837"/>
    <w:rsid w:val="6A0E546F"/>
    <w:rsid w:val="6A1003B9"/>
    <w:rsid w:val="6A173B03"/>
    <w:rsid w:val="6A1D5C82"/>
    <w:rsid w:val="6A2B4273"/>
    <w:rsid w:val="6A321963"/>
    <w:rsid w:val="6A415844"/>
    <w:rsid w:val="6A4470E3"/>
    <w:rsid w:val="6A474A4C"/>
    <w:rsid w:val="6A49280C"/>
    <w:rsid w:val="6A6E2276"/>
    <w:rsid w:val="6A8B4D12"/>
    <w:rsid w:val="6A90057A"/>
    <w:rsid w:val="6A955B90"/>
    <w:rsid w:val="6A971908"/>
    <w:rsid w:val="6AC567E1"/>
    <w:rsid w:val="6AF13F41"/>
    <w:rsid w:val="6B0654D4"/>
    <w:rsid w:val="6B1265FB"/>
    <w:rsid w:val="6B1D005F"/>
    <w:rsid w:val="6B407BD8"/>
    <w:rsid w:val="6B4355EC"/>
    <w:rsid w:val="6B5A3D3B"/>
    <w:rsid w:val="6B69318E"/>
    <w:rsid w:val="6B6C3996"/>
    <w:rsid w:val="6B7E2B1F"/>
    <w:rsid w:val="6BA001B4"/>
    <w:rsid w:val="6BAF58B8"/>
    <w:rsid w:val="6BBC3075"/>
    <w:rsid w:val="6BD04DDF"/>
    <w:rsid w:val="6C272818"/>
    <w:rsid w:val="6C3842A8"/>
    <w:rsid w:val="6C3F4006"/>
    <w:rsid w:val="6C5755A2"/>
    <w:rsid w:val="6C5E0930"/>
    <w:rsid w:val="6C6525BA"/>
    <w:rsid w:val="6C77156A"/>
    <w:rsid w:val="6C7C0DB6"/>
    <w:rsid w:val="6C865790"/>
    <w:rsid w:val="6C88432A"/>
    <w:rsid w:val="6C9B3F20"/>
    <w:rsid w:val="6CB03771"/>
    <w:rsid w:val="6CB423CE"/>
    <w:rsid w:val="6CBF0CA2"/>
    <w:rsid w:val="6CCD1611"/>
    <w:rsid w:val="6CDB1F80"/>
    <w:rsid w:val="6CDC684D"/>
    <w:rsid w:val="6CDD26EE"/>
    <w:rsid w:val="6CFD335E"/>
    <w:rsid w:val="6D254FA9"/>
    <w:rsid w:val="6D29299C"/>
    <w:rsid w:val="6D3276C6"/>
    <w:rsid w:val="6D5342F6"/>
    <w:rsid w:val="6D592EA5"/>
    <w:rsid w:val="6D8112C5"/>
    <w:rsid w:val="6D8E05A2"/>
    <w:rsid w:val="6D936D70"/>
    <w:rsid w:val="6DA11374"/>
    <w:rsid w:val="6DC01176"/>
    <w:rsid w:val="6DD0796C"/>
    <w:rsid w:val="6DD15131"/>
    <w:rsid w:val="6DD3085F"/>
    <w:rsid w:val="6DDE1B39"/>
    <w:rsid w:val="6E044771"/>
    <w:rsid w:val="6E116602"/>
    <w:rsid w:val="6E323894"/>
    <w:rsid w:val="6E402699"/>
    <w:rsid w:val="6E480D56"/>
    <w:rsid w:val="6E697118"/>
    <w:rsid w:val="6E8F5D83"/>
    <w:rsid w:val="6E95615F"/>
    <w:rsid w:val="6EBD1AB8"/>
    <w:rsid w:val="6ECF6B20"/>
    <w:rsid w:val="6ED87134"/>
    <w:rsid w:val="6ED9618E"/>
    <w:rsid w:val="6EDF0D92"/>
    <w:rsid w:val="6EE5485B"/>
    <w:rsid w:val="6F034CBF"/>
    <w:rsid w:val="6F1E7F02"/>
    <w:rsid w:val="6F4905AB"/>
    <w:rsid w:val="6F523AC2"/>
    <w:rsid w:val="6F6F69B0"/>
    <w:rsid w:val="6F7554FA"/>
    <w:rsid w:val="6F83245B"/>
    <w:rsid w:val="6F8A37EA"/>
    <w:rsid w:val="6FB81036"/>
    <w:rsid w:val="6FEA741D"/>
    <w:rsid w:val="6FFD3FBC"/>
    <w:rsid w:val="70001CFE"/>
    <w:rsid w:val="7000585A"/>
    <w:rsid w:val="70041D30"/>
    <w:rsid w:val="700C60B1"/>
    <w:rsid w:val="701D0900"/>
    <w:rsid w:val="701E7E11"/>
    <w:rsid w:val="702574A7"/>
    <w:rsid w:val="702F4391"/>
    <w:rsid w:val="703A2630"/>
    <w:rsid w:val="704B653D"/>
    <w:rsid w:val="705102AC"/>
    <w:rsid w:val="7055204A"/>
    <w:rsid w:val="70553DF8"/>
    <w:rsid w:val="70555429"/>
    <w:rsid w:val="705F3769"/>
    <w:rsid w:val="708244C1"/>
    <w:rsid w:val="70875F7B"/>
    <w:rsid w:val="709A7A5C"/>
    <w:rsid w:val="70A33082"/>
    <w:rsid w:val="70AE736D"/>
    <w:rsid w:val="70BD374B"/>
    <w:rsid w:val="70EC412D"/>
    <w:rsid w:val="711315BD"/>
    <w:rsid w:val="71551BD5"/>
    <w:rsid w:val="7156438B"/>
    <w:rsid w:val="715A2557"/>
    <w:rsid w:val="71676477"/>
    <w:rsid w:val="718A76FC"/>
    <w:rsid w:val="71AF446F"/>
    <w:rsid w:val="71C730E1"/>
    <w:rsid w:val="721455EC"/>
    <w:rsid w:val="7229553C"/>
    <w:rsid w:val="722D66AE"/>
    <w:rsid w:val="7251239D"/>
    <w:rsid w:val="7260196C"/>
    <w:rsid w:val="727268E0"/>
    <w:rsid w:val="727C634F"/>
    <w:rsid w:val="72A46F48"/>
    <w:rsid w:val="72A56887"/>
    <w:rsid w:val="72BA0B6E"/>
    <w:rsid w:val="72BE7080"/>
    <w:rsid w:val="72F41D22"/>
    <w:rsid w:val="73267CCD"/>
    <w:rsid w:val="734C3E6C"/>
    <w:rsid w:val="734E7A05"/>
    <w:rsid w:val="73591E51"/>
    <w:rsid w:val="735A6771"/>
    <w:rsid w:val="735F1AA0"/>
    <w:rsid w:val="73770529"/>
    <w:rsid w:val="737A6AC3"/>
    <w:rsid w:val="737D075C"/>
    <w:rsid w:val="739C3AEB"/>
    <w:rsid w:val="73AE6869"/>
    <w:rsid w:val="73B057E9"/>
    <w:rsid w:val="73C5064F"/>
    <w:rsid w:val="7409651C"/>
    <w:rsid w:val="74147B26"/>
    <w:rsid w:val="741A3431"/>
    <w:rsid w:val="74367A9C"/>
    <w:rsid w:val="74377EB7"/>
    <w:rsid w:val="7440479D"/>
    <w:rsid w:val="74455F31"/>
    <w:rsid w:val="745A5E80"/>
    <w:rsid w:val="745D14CD"/>
    <w:rsid w:val="74610332"/>
    <w:rsid w:val="747B1AED"/>
    <w:rsid w:val="7493355D"/>
    <w:rsid w:val="749A5433"/>
    <w:rsid w:val="749C0EB0"/>
    <w:rsid w:val="74A25132"/>
    <w:rsid w:val="74A964C0"/>
    <w:rsid w:val="74AA074C"/>
    <w:rsid w:val="74B80DF9"/>
    <w:rsid w:val="74C72A2B"/>
    <w:rsid w:val="750F2674"/>
    <w:rsid w:val="751A00A9"/>
    <w:rsid w:val="75390090"/>
    <w:rsid w:val="753A180E"/>
    <w:rsid w:val="753A3015"/>
    <w:rsid w:val="75472BD8"/>
    <w:rsid w:val="757345DF"/>
    <w:rsid w:val="75894140"/>
    <w:rsid w:val="759C1FD6"/>
    <w:rsid w:val="75A2437B"/>
    <w:rsid w:val="75C37324"/>
    <w:rsid w:val="75D80A35"/>
    <w:rsid w:val="75F55735"/>
    <w:rsid w:val="75FE6CDF"/>
    <w:rsid w:val="760065B4"/>
    <w:rsid w:val="760805F4"/>
    <w:rsid w:val="760A6649"/>
    <w:rsid w:val="762914CB"/>
    <w:rsid w:val="763B583E"/>
    <w:rsid w:val="76415374"/>
    <w:rsid w:val="766670D0"/>
    <w:rsid w:val="76742AFE"/>
    <w:rsid w:val="769709D0"/>
    <w:rsid w:val="76A74C81"/>
    <w:rsid w:val="76CE7AD1"/>
    <w:rsid w:val="76D421B4"/>
    <w:rsid w:val="76F31E7A"/>
    <w:rsid w:val="76F83289"/>
    <w:rsid w:val="76F876DF"/>
    <w:rsid w:val="77007CDA"/>
    <w:rsid w:val="770837FD"/>
    <w:rsid w:val="77091498"/>
    <w:rsid w:val="770D18CD"/>
    <w:rsid w:val="77310D53"/>
    <w:rsid w:val="77333E74"/>
    <w:rsid w:val="774E334F"/>
    <w:rsid w:val="7766571B"/>
    <w:rsid w:val="778209AD"/>
    <w:rsid w:val="77B70EF4"/>
    <w:rsid w:val="77CD796E"/>
    <w:rsid w:val="77FF0221"/>
    <w:rsid w:val="77FF289B"/>
    <w:rsid w:val="78016613"/>
    <w:rsid w:val="780A5CCC"/>
    <w:rsid w:val="780B2B61"/>
    <w:rsid w:val="781841F2"/>
    <w:rsid w:val="78200134"/>
    <w:rsid w:val="782347DB"/>
    <w:rsid w:val="78526E6F"/>
    <w:rsid w:val="78593D48"/>
    <w:rsid w:val="786A240A"/>
    <w:rsid w:val="786B5465"/>
    <w:rsid w:val="78BD1399"/>
    <w:rsid w:val="78E51A91"/>
    <w:rsid w:val="78E926E0"/>
    <w:rsid w:val="78EA52F9"/>
    <w:rsid w:val="78F65A4C"/>
    <w:rsid w:val="79030457"/>
    <w:rsid w:val="792A6003"/>
    <w:rsid w:val="792C5E5B"/>
    <w:rsid w:val="79492020"/>
    <w:rsid w:val="794B223C"/>
    <w:rsid w:val="79596BB6"/>
    <w:rsid w:val="79713215"/>
    <w:rsid w:val="798F4904"/>
    <w:rsid w:val="799D670D"/>
    <w:rsid w:val="79A7404E"/>
    <w:rsid w:val="79A84045"/>
    <w:rsid w:val="79C30024"/>
    <w:rsid w:val="79DA7E36"/>
    <w:rsid w:val="79F301DD"/>
    <w:rsid w:val="79FE105C"/>
    <w:rsid w:val="7A0E456C"/>
    <w:rsid w:val="7A1B7E60"/>
    <w:rsid w:val="7A2B1A67"/>
    <w:rsid w:val="7A3E3B4E"/>
    <w:rsid w:val="7A4A24F3"/>
    <w:rsid w:val="7A5173D7"/>
    <w:rsid w:val="7A560E98"/>
    <w:rsid w:val="7A637111"/>
    <w:rsid w:val="7A6730A5"/>
    <w:rsid w:val="7A777060"/>
    <w:rsid w:val="7A811C8D"/>
    <w:rsid w:val="7AB41BCC"/>
    <w:rsid w:val="7AB636E5"/>
    <w:rsid w:val="7ABA3AA8"/>
    <w:rsid w:val="7AD85BCB"/>
    <w:rsid w:val="7AE02768"/>
    <w:rsid w:val="7AE069B4"/>
    <w:rsid w:val="7AED10D1"/>
    <w:rsid w:val="7B0B4F4E"/>
    <w:rsid w:val="7B0C59FB"/>
    <w:rsid w:val="7B16616D"/>
    <w:rsid w:val="7B400342"/>
    <w:rsid w:val="7B5E46A1"/>
    <w:rsid w:val="7B75495B"/>
    <w:rsid w:val="7B842755"/>
    <w:rsid w:val="7B915F00"/>
    <w:rsid w:val="7B98103C"/>
    <w:rsid w:val="7B9C0261"/>
    <w:rsid w:val="7BA14395"/>
    <w:rsid w:val="7BC31773"/>
    <w:rsid w:val="7BCE579E"/>
    <w:rsid w:val="7BDA1B76"/>
    <w:rsid w:val="7BE82F8F"/>
    <w:rsid w:val="7BE966E3"/>
    <w:rsid w:val="7BEB41C7"/>
    <w:rsid w:val="7BED75DA"/>
    <w:rsid w:val="7C094BFB"/>
    <w:rsid w:val="7C0D5378"/>
    <w:rsid w:val="7C15268D"/>
    <w:rsid w:val="7C16611A"/>
    <w:rsid w:val="7C1D7794"/>
    <w:rsid w:val="7C266648"/>
    <w:rsid w:val="7C2B1EB0"/>
    <w:rsid w:val="7C305719"/>
    <w:rsid w:val="7C506DEC"/>
    <w:rsid w:val="7C777E09"/>
    <w:rsid w:val="7C990EA1"/>
    <w:rsid w:val="7CA9293A"/>
    <w:rsid w:val="7CB77BE8"/>
    <w:rsid w:val="7CC05DA9"/>
    <w:rsid w:val="7CF57024"/>
    <w:rsid w:val="7CF6426C"/>
    <w:rsid w:val="7D160B9A"/>
    <w:rsid w:val="7D21734E"/>
    <w:rsid w:val="7D284642"/>
    <w:rsid w:val="7D382AD7"/>
    <w:rsid w:val="7D3E0ACF"/>
    <w:rsid w:val="7D576338"/>
    <w:rsid w:val="7D840CC5"/>
    <w:rsid w:val="7D8A0C03"/>
    <w:rsid w:val="7D8C6BBD"/>
    <w:rsid w:val="7D9931BD"/>
    <w:rsid w:val="7D9C2DC9"/>
    <w:rsid w:val="7DA65205"/>
    <w:rsid w:val="7DA93EBE"/>
    <w:rsid w:val="7DB14637"/>
    <w:rsid w:val="7E1E3A2E"/>
    <w:rsid w:val="7E3A23D1"/>
    <w:rsid w:val="7E555BD1"/>
    <w:rsid w:val="7E7324B4"/>
    <w:rsid w:val="7E747B3F"/>
    <w:rsid w:val="7E754607"/>
    <w:rsid w:val="7E7A2918"/>
    <w:rsid w:val="7E837D82"/>
    <w:rsid w:val="7EA131CA"/>
    <w:rsid w:val="7EB005FA"/>
    <w:rsid w:val="7EB40DD0"/>
    <w:rsid w:val="7EB81E63"/>
    <w:rsid w:val="7EBB39C0"/>
    <w:rsid w:val="7EC531D7"/>
    <w:rsid w:val="7EFE4293"/>
    <w:rsid w:val="7F060D40"/>
    <w:rsid w:val="7F091139"/>
    <w:rsid w:val="7F266502"/>
    <w:rsid w:val="7F2B4732"/>
    <w:rsid w:val="7F2B66C5"/>
    <w:rsid w:val="7F2D1E7F"/>
    <w:rsid w:val="7F2F7F0A"/>
    <w:rsid w:val="7F34107C"/>
    <w:rsid w:val="7F3670CE"/>
    <w:rsid w:val="7F3948E4"/>
    <w:rsid w:val="7F47412F"/>
    <w:rsid w:val="7F480FCB"/>
    <w:rsid w:val="7F5D4A77"/>
    <w:rsid w:val="7F932970"/>
    <w:rsid w:val="7FAB3A34"/>
    <w:rsid w:val="7FD85EAB"/>
    <w:rsid w:val="7FDD1714"/>
    <w:rsid w:val="7FF671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99"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spacing w:line="360" w:lineRule="auto"/>
      <w:ind w:firstLine="883" w:firstLineChars="200"/>
      <w:jc w:val="both"/>
    </w:pPr>
    <w:rPr>
      <w:rFonts w:ascii="Times New Roman" w:hAnsi="Times New Roman" w:eastAsia="仿宋" w:cstheme="minorBidi"/>
      <w:kern w:val="2"/>
      <w:sz w:val="28"/>
      <w:szCs w:val="24"/>
      <w:lang w:val="en-US" w:eastAsia="zh-CN" w:bidi="ar-SA"/>
    </w:rPr>
  </w:style>
  <w:style w:type="paragraph" w:styleId="3">
    <w:name w:val="heading 1"/>
    <w:basedOn w:val="1"/>
    <w:next w:val="1"/>
    <w:link w:val="36"/>
    <w:autoRedefine/>
    <w:qFormat/>
    <w:uiPriority w:val="0"/>
    <w:pPr>
      <w:keepNext/>
      <w:keepLines/>
      <w:spacing w:line="360" w:lineRule="auto"/>
      <w:ind w:firstLine="0" w:firstLineChars="0"/>
      <w:outlineLvl w:val="0"/>
    </w:pPr>
    <w:rPr>
      <w:rFonts w:eastAsia="微软雅黑"/>
      <w:b/>
      <w:bCs/>
      <w:kern w:val="44"/>
      <w:sz w:val="30"/>
      <w:szCs w:val="44"/>
    </w:rPr>
  </w:style>
  <w:style w:type="paragraph" w:styleId="2">
    <w:name w:val="heading 2"/>
    <w:basedOn w:val="1"/>
    <w:next w:val="1"/>
    <w:link w:val="53"/>
    <w:autoRedefine/>
    <w:unhideWhenUsed/>
    <w:qFormat/>
    <w:uiPriority w:val="0"/>
    <w:pPr>
      <w:keepNext/>
      <w:keepLines/>
      <w:ind w:firstLine="0" w:firstLineChars="0"/>
      <w:outlineLvl w:val="1"/>
    </w:pPr>
    <w:rPr>
      <w:rFonts w:ascii="Arial" w:hAnsi="Arial"/>
      <w:b/>
    </w:rPr>
  </w:style>
  <w:style w:type="paragraph" w:styleId="4">
    <w:name w:val="heading 3"/>
    <w:basedOn w:val="1"/>
    <w:next w:val="1"/>
    <w:link w:val="54"/>
    <w:autoRedefine/>
    <w:unhideWhenUsed/>
    <w:qFormat/>
    <w:uiPriority w:val="9"/>
    <w:pPr>
      <w:keepNext/>
      <w:keepLines/>
      <w:spacing w:line="413" w:lineRule="auto"/>
      <w:ind w:firstLine="880" w:firstLineChars="200"/>
      <w:outlineLvl w:val="2"/>
    </w:pPr>
    <w:rPr>
      <w:rFonts w:eastAsia="黑体"/>
      <w:sz w:val="28"/>
    </w:rPr>
  </w:style>
  <w:style w:type="character" w:default="1" w:styleId="17">
    <w:name w:val="Default Paragraph Font"/>
    <w:autoRedefine/>
    <w:semiHidden/>
    <w:unhideWhenUsed/>
    <w:qFormat/>
    <w:uiPriority w:val="1"/>
  </w:style>
  <w:style w:type="table" w:default="1" w:styleId="15">
    <w:name w:val="Normal Table"/>
    <w:autoRedefine/>
    <w:semiHidden/>
    <w:unhideWhenUsed/>
    <w:qFormat/>
    <w:uiPriority w:val="99"/>
    <w:tblPr>
      <w:tblCellMar>
        <w:top w:w="0" w:type="dxa"/>
        <w:left w:w="108" w:type="dxa"/>
        <w:bottom w:w="0" w:type="dxa"/>
        <w:right w:w="108" w:type="dxa"/>
      </w:tblCellMar>
    </w:tblPr>
  </w:style>
  <w:style w:type="paragraph" w:styleId="5">
    <w:name w:val="annotation text"/>
    <w:basedOn w:val="1"/>
    <w:link w:val="34"/>
    <w:autoRedefine/>
    <w:qFormat/>
    <w:uiPriority w:val="0"/>
    <w:pPr>
      <w:jc w:val="left"/>
    </w:pPr>
  </w:style>
  <w:style w:type="paragraph" w:styleId="6">
    <w:name w:val="Plain Text"/>
    <w:basedOn w:val="1"/>
    <w:link w:val="55"/>
    <w:autoRedefine/>
    <w:qFormat/>
    <w:uiPriority w:val="0"/>
    <w:rPr>
      <w:rFonts w:ascii="宋体" w:hAnsi="Courier New"/>
    </w:rPr>
  </w:style>
  <w:style w:type="paragraph" w:styleId="7">
    <w:name w:val="Body Text Indent 2"/>
    <w:basedOn w:val="1"/>
    <w:link w:val="37"/>
    <w:autoRedefine/>
    <w:qFormat/>
    <w:uiPriority w:val="99"/>
    <w:pPr>
      <w:ind w:firstLine="560"/>
    </w:pPr>
    <w:rPr>
      <w:rFonts w:ascii="Times New Roman" w:hAnsi="Times New Roman" w:eastAsia="汉仪粗仿宋简"/>
      <w:sz w:val="28"/>
      <w:szCs w:val="28"/>
    </w:rPr>
  </w:style>
  <w:style w:type="paragraph" w:styleId="8">
    <w:name w:val="Balloon Text"/>
    <w:basedOn w:val="1"/>
    <w:link w:val="33"/>
    <w:autoRedefine/>
    <w:qFormat/>
    <w:uiPriority w:val="0"/>
    <w:rPr>
      <w:sz w:val="18"/>
      <w:szCs w:val="18"/>
    </w:rPr>
  </w:style>
  <w:style w:type="paragraph" w:styleId="9">
    <w:name w:val="footer"/>
    <w:basedOn w:val="1"/>
    <w:link w:val="22"/>
    <w:autoRedefine/>
    <w:qFormat/>
    <w:uiPriority w:val="0"/>
    <w:pPr>
      <w:tabs>
        <w:tab w:val="center" w:pos="4153"/>
        <w:tab w:val="right" w:pos="8306"/>
      </w:tabs>
      <w:snapToGrid w:val="0"/>
      <w:jc w:val="left"/>
    </w:pPr>
    <w:rPr>
      <w:sz w:val="18"/>
      <w:szCs w:val="18"/>
    </w:rPr>
  </w:style>
  <w:style w:type="paragraph" w:styleId="10">
    <w:name w:val="header"/>
    <w:basedOn w:val="1"/>
    <w:link w:val="21"/>
    <w:autoRedefine/>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autoRedefine/>
    <w:qFormat/>
    <w:uiPriority w:val="0"/>
  </w:style>
  <w:style w:type="paragraph" w:styleId="12">
    <w:name w:val="toc 2"/>
    <w:basedOn w:val="1"/>
    <w:next w:val="1"/>
    <w:autoRedefine/>
    <w:qFormat/>
    <w:uiPriority w:val="0"/>
    <w:pPr>
      <w:ind w:left="420" w:leftChars="200"/>
    </w:pPr>
  </w:style>
  <w:style w:type="paragraph" w:styleId="13">
    <w:name w:val="Normal (Web)"/>
    <w:basedOn w:val="1"/>
    <w:autoRedefine/>
    <w:qFormat/>
    <w:uiPriority w:val="0"/>
    <w:rPr>
      <w:sz w:val="24"/>
    </w:rPr>
  </w:style>
  <w:style w:type="paragraph" w:styleId="14">
    <w:name w:val="annotation subject"/>
    <w:basedOn w:val="5"/>
    <w:next w:val="5"/>
    <w:link w:val="35"/>
    <w:autoRedefine/>
    <w:qFormat/>
    <w:uiPriority w:val="0"/>
    <w:rPr>
      <w:b/>
      <w:bCs/>
    </w:rPr>
  </w:style>
  <w:style w:type="table" w:styleId="16">
    <w:name w:val="Table Grid"/>
    <w:basedOn w:val="15"/>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Hyperlink"/>
    <w:basedOn w:val="17"/>
    <w:autoRedefine/>
    <w:qFormat/>
    <w:uiPriority w:val="0"/>
    <w:rPr>
      <w:color w:val="0000FF"/>
      <w:u w:val="single"/>
    </w:rPr>
  </w:style>
  <w:style w:type="character" w:styleId="19">
    <w:name w:val="annotation reference"/>
    <w:basedOn w:val="17"/>
    <w:autoRedefine/>
    <w:qFormat/>
    <w:uiPriority w:val="0"/>
    <w:rPr>
      <w:sz w:val="21"/>
      <w:szCs w:val="21"/>
    </w:rPr>
  </w:style>
  <w:style w:type="paragraph" w:customStyle="1" w:styleId="20">
    <w:name w:val="表格2"/>
    <w:link w:val="23"/>
    <w:autoRedefine/>
    <w:qFormat/>
    <w:uiPriority w:val="0"/>
    <w:pPr>
      <w:spacing w:beforeLines="50" w:afterLines="50" w:line="276" w:lineRule="auto"/>
    </w:pPr>
    <w:rPr>
      <w:rFonts w:ascii="Calibri" w:hAnsi="Calibri" w:eastAsia="宋体" w:cs="Times New Roman"/>
      <w:kern w:val="2"/>
      <w:sz w:val="21"/>
      <w:szCs w:val="22"/>
      <w:lang w:val="en-US" w:eastAsia="zh-CN" w:bidi="ar-SA"/>
    </w:rPr>
  </w:style>
  <w:style w:type="character" w:customStyle="1" w:styleId="21">
    <w:name w:val="页眉 字符"/>
    <w:basedOn w:val="17"/>
    <w:link w:val="10"/>
    <w:autoRedefine/>
    <w:qFormat/>
    <w:uiPriority w:val="0"/>
    <w:rPr>
      <w:kern w:val="2"/>
      <w:sz w:val="18"/>
      <w:szCs w:val="18"/>
    </w:rPr>
  </w:style>
  <w:style w:type="character" w:customStyle="1" w:styleId="22">
    <w:name w:val="页脚 字符"/>
    <w:basedOn w:val="17"/>
    <w:link w:val="9"/>
    <w:autoRedefine/>
    <w:qFormat/>
    <w:uiPriority w:val="0"/>
    <w:rPr>
      <w:kern w:val="2"/>
      <w:sz w:val="18"/>
      <w:szCs w:val="18"/>
    </w:rPr>
  </w:style>
  <w:style w:type="character" w:customStyle="1" w:styleId="23">
    <w:name w:val="表格2 Char"/>
    <w:link w:val="20"/>
    <w:autoRedefine/>
    <w:qFormat/>
    <w:uiPriority w:val="0"/>
    <w:rPr>
      <w:rFonts w:ascii="Calibri" w:hAnsi="Calibri" w:eastAsia="宋体" w:cs="Times New Roman"/>
      <w:kern w:val="2"/>
      <w:sz w:val="21"/>
      <w:szCs w:val="22"/>
    </w:rPr>
  </w:style>
  <w:style w:type="paragraph" w:styleId="24">
    <w:name w:val="List Paragraph"/>
    <w:basedOn w:val="1"/>
    <w:autoRedefine/>
    <w:qFormat/>
    <w:uiPriority w:val="99"/>
    <w:pPr>
      <w:ind w:firstLine="420" w:firstLineChars="200"/>
    </w:pPr>
  </w:style>
  <w:style w:type="paragraph" w:customStyle="1" w:styleId="25">
    <w:name w:val="表格中的样式"/>
    <w:basedOn w:val="1"/>
    <w:link w:val="26"/>
    <w:autoRedefine/>
    <w:qFormat/>
    <w:uiPriority w:val="0"/>
    <w:pPr>
      <w:jc w:val="left"/>
    </w:pPr>
    <w:rPr>
      <w:rFonts w:ascii="宋体" w:hAnsi="宋体"/>
      <w:szCs w:val="21"/>
    </w:rPr>
  </w:style>
  <w:style w:type="character" w:customStyle="1" w:styleId="26">
    <w:name w:val="表格中的样式 Char"/>
    <w:basedOn w:val="17"/>
    <w:link w:val="25"/>
    <w:autoRedefine/>
    <w:qFormat/>
    <w:uiPriority w:val="0"/>
    <w:rPr>
      <w:rFonts w:ascii="宋体" w:hAnsi="宋体"/>
      <w:kern w:val="2"/>
      <w:sz w:val="21"/>
      <w:szCs w:val="21"/>
    </w:rPr>
  </w:style>
  <w:style w:type="character" w:customStyle="1" w:styleId="27">
    <w:name w:val="表格样式 Char"/>
    <w:link w:val="28"/>
    <w:autoRedefine/>
    <w:qFormat/>
    <w:uiPriority w:val="0"/>
    <w:rPr>
      <w:rFonts w:ascii="宋体" w:hAnsi="宋体" w:eastAsia="宋体"/>
      <w:szCs w:val="21"/>
      <w:lang w:eastAsia="en-US" w:bidi="en-US"/>
    </w:rPr>
  </w:style>
  <w:style w:type="paragraph" w:customStyle="1" w:styleId="28">
    <w:name w:val="表格样式"/>
    <w:basedOn w:val="1"/>
    <w:link w:val="27"/>
    <w:autoRedefine/>
    <w:qFormat/>
    <w:uiPriority w:val="0"/>
    <w:pPr>
      <w:widowControl/>
      <w:snapToGrid w:val="0"/>
      <w:spacing w:line="276" w:lineRule="auto"/>
    </w:pPr>
    <w:rPr>
      <w:rFonts w:ascii="宋体" w:hAnsi="宋体" w:eastAsia="宋体"/>
      <w:kern w:val="0"/>
      <w:sz w:val="20"/>
      <w:szCs w:val="21"/>
      <w:lang w:eastAsia="en-US" w:bidi="en-US"/>
    </w:rPr>
  </w:style>
  <w:style w:type="paragraph" w:customStyle="1" w:styleId="29">
    <w:name w:val="标题二2（楷体标题）"/>
    <w:basedOn w:val="1"/>
    <w:autoRedefine/>
    <w:qFormat/>
    <w:uiPriority w:val="0"/>
    <w:pPr>
      <w:spacing w:line="560" w:lineRule="exact"/>
      <w:jc w:val="center"/>
    </w:pPr>
    <w:rPr>
      <w:rFonts w:ascii="宋体" w:hAnsi="宋体" w:cs="宋体"/>
      <w:sz w:val="28"/>
      <w:szCs w:val="28"/>
    </w:rPr>
  </w:style>
  <w:style w:type="character" w:customStyle="1" w:styleId="30">
    <w:name w:val="fontstyle01"/>
    <w:autoRedefine/>
    <w:qFormat/>
    <w:uiPriority w:val="0"/>
    <w:rPr>
      <w:rFonts w:hint="default" w:ascii="FZSSK--GBK1-0" w:hAnsi="FZSSK--GBK1-0"/>
      <w:color w:val="000000"/>
      <w:sz w:val="24"/>
      <w:szCs w:val="24"/>
    </w:rPr>
  </w:style>
  <w:style w:type="character" w:customStyle="1" w:styleId="31">
    <w:name w:val="font31"/>
    <w:basedOn w:val="17"/>
    <w:autoRedefine/>
    <w:qFormat/>
    <w:uiPriority w:val="0"/>
    <w:rPr>
      <w:rFonts w:hint="default" w:ascii="仿宋_GB2312" w:eastAsia="仿宋_GB2312" w:cs="仿宋_GB2312"/>
      <w:color w:val="000000"/>
      <w:sz w:val="21"/>
      <w:szCs w:val="21"/>
      <w:u w:val="none"/>
    </w:rPr>
  </w:style>
  <w:style w:type="character" w:customStyle="1" w:styleId="32">
    <w:name w:val="font81"/>
    <w:basedOn w:val="17"/>
    <w:autoRedefine/>
    <w:qFormat/>
    <w:uiPriority w:val="0"/>
    <w:rPr>
      <w:rFonts w:hint="default" w:ascii="仿宋_GB2312" w:eastAsia="仿宋_GB2312" w:cs="仿宋_GB2312"/>
      <w:color w:val="000000"/>
      <w:sz w:val="20"/>
      <w:szCs w:val="20"/>
      <w:u w:val="none"/>
    </w:rPr>
  </w:style>
  <w:style w:type="character" w:customStyle="1" w:styleId="33">
    <w:name w:val="批注框文本 字符"/>
    <w:basedOn w:val="17"/>
    <w:link w:val="8"/>
    <w:autoRedefine/>
    <w:qFormat/>
    <w:uiPriority w:val="0"/>
    <w:rPr>
      <w:rFonts w:asciiTheme="minorHAnsi" w:hAnsiTheme="minorHAnsi" w:eastAsiaTheme="minorEastAsia" w:cstheme="minorBidi"/>
      <w:kern w:val="2"/>
      <w:sz w:val="18"/>
      <w:szCs w:val="18"/>
    </w:rPr>
  </w:style>
  <w:style w:type="character" w:customStyle="1" w:styleId="34">
    <w:name w:val="批注文字 字符"/>
    <w:basedOn w:val="17"/>
    <w:link w:val="5"/>
    <w:autoRedefine/>
    <w:qFormat/>
    <w:uiPriority w:val="0"/>
    <w:rPr>
      <w:rFonts w:asciiTheme="minorHAnsi" w:hAnsiTheme="minorHAnsi" w:eastAsiaTheme="minorEastAsia" w:cstheme="minorBidi"/>
      <w:kern w:val="2"/>
      <w:sz w:val="21"/>
      <w:szCs w:val="24"/>
    </w:rPr>
  </w:style>
  <w:style w:type="character" w:customStyle="1" w:styleId="35">
    <w:name w:val="批注主题 字符"/>
    <w:basedOn w:val="34"/>
    <w:link w:val="14"/>
    <w:autoRedefine/>
    <w:qFormat/>
    <w:uiPriority w:val="0"/>
    <w:rPr>
      <w:rFonts w:asciiTheme="minorHAnsi" w:hAnsiTheme="minorHAnsi" w:eastAsiaTheme="minorEastAsia" w:cstheme="minorBidi"/>
      <w:b/>
      <w:bCs/>
      <w:kern w:val="2"/>
      <w:sz w:val="21"/>
      <w:szCs w:val="24"/>
    </w:rPr>
  </w:style>
  <w:style w:type="character" w:customStyle="1" w:styleId="36">
    <w:name w:val="标题 1 字符"/>
    <w:basedOn w:val="17"/>
    <w:link w:val="3"/>
    <w:autoRedefine/>
    <w:qFormat/>
    <w:uiPriority w:val="0"/>
    <w:rPr>
      <w:rFonts w:eastAsia="微软雅黑" w:asciiTheme="minorHAnsi" w:hAnsiTheme="minorHAnsi" w:cstheme="minorBidi"/>
      <w:b/>
      <w:bCs/>
      <w:kern w:val="44"/>
      <w:sz w:val="30"/>
      <w:szCs w:val="44"/>
    </w:rPr>
  </w:style>
  <w:style w:type="character" w:customStyle="1" w:styleId="37">
    <w:name w:val="正文文本缩进 2 字符"/>
    <w:basedOn w:val="17"/>
    <w:link w:val="7"/>
    <w:autoRedefine/>
    <w:qFormat/>
    <w:uiPriority w:val="0"/>
    <w:rPr>
      <w:kern w:val="2"/>
      <w:sz w:val="21"/>
      <w:szCs w:val="24"/>
    </w:rPr>
  </w:style>
  <w:style w:type="paragraph" w:customStyle="1" w:styleId="38">
    <w:name w:val="表格"/>
    <w:basedOn w:val="1"/>
    <w:autoRedefine/>
    <w:qFormat/>
    <w:uiPriority w:val="0"/>
  </w:style>
  <w:style w:type="paragraph" w:customStyle="1" w:styleId="39">
    <w:name w:val="表头图号"/>
    <w:basedOn w:val="1"/>
    <w:next w:val="1"/>
    <w:autoRedefine/>
    <w:qFormat/>
    <w:uiPriority w:val="0"/>
    <w:pPr>
      <w:ind w:firstLine="422"/>
      <w:jc w:val="center"/>
    </w:pPr>
    <w:rPr>
      <w:rFonts w:asciiTheme="minorEastAsia" w:hAnsiTheme="minorEastAsia" w:eastAsiaTheme="minorEastAsia"/>
      <w:b/>
      <w:sz w:val="28"/>
      <w:szCs w:val="28"/>
    </w:rPr>
  </w:style>
  <w:style w:type="character" w:customStyle="1" w:styleId="40">
    <w:name w:val="font21"/>
    <w:basedOn w:val="17"/>
    <w:autoRedefine/>
    <w:qFormat/>
    <w:uiPriority w:val="0"/>
    <w:rPr>
      <w:rFonts w:hint="eastAsia" w:ascii="仿宋_GB2312" w:eastAsia="仿宋_GB2312" w:cs="仿宋_GB2312"/>
      <w:b/>
      <w:bCs/>
      <w:color w:val="000000"/>
      <w:sz w:val="21"/>
      <w:szCs w:val="21"/>
      <w:u w:val="none"/>
    </w:rPr>
  </w:style>
  <w:style w:type="character" w:customStyle="1" w:styleId="41">
    <w:name w:val="font41"/>
    <w:basedOn w:val="17"/>
    <w:autoRedefine/>
    <w:qFormat/>
    <w:uiPriority w:val="0"/>
    <w:rPr>
      <w:rFonts w:hint="eastAsia" w:ascii="仿宋_GB2312" w:eastAsia="仿宋_GB2312" w:cs="仿宋_GB2312"/>
      <w:color w:val="000000"/>
      <w:sz w:val="21"/>
      <w:szCs w:val="21"/>
      <w:u w:val="none"/>
    </w:rPr>
  </w:style>
  <w:style w:type="character" w:customStyle="1" w:styleId="42">
    <w:name w:val="font71"/>
    <w:basedOn w:val="17"/>
    <w:autoRedefine/>
    <w:qFormat/>
    <w:uiPriority w:val="0"/>
    <w:rPr>
      <w:rFonts w:hint="eastAsia" w:ascii="仿宋_GB2312" w:eastAsia="仿宋_GB2312" w:cs="仿宋_GB2312"/>
      <w:color w:val="000000"/>
      <w:sz w:val="20"/>
      <w:szCs w:val="20"/>
      <w:u w:val="none"/>
    </w:rPr>
  </w:style>
  <w:style w:type="character" w:customStyle="1" w:styleId="43">
    <w:name w:val="font51"/>
    <w:basedOn w:val="17"/>
    <w:autoRedefine/>
    <w:qFormat/>
    <w:uiPriority w:val="0"/>
    <w:rPr>
      <w:rFonts w:hint="eastAsia" w:ascii="仿宋_GB2312" w:eastAsia="仿宋_GB2312" w:cs="仿宋_GB2312"/>
      <w:color w:val="000000"/>
      <w:sz w:val="21"/>
      <w:szCs w:val="21"/>
      <w:u w:val="none"/>
    </w:rPr>
  </w:style>
  <w:style w:type="character" w:customStyle="1" w:styleId="44">
    <w:name w:val="font11"/>
    <w:basedOn w:val="17"/>
    <w:qFormat/>
    <w:uiPriority w:val="0"/>
    <w:rPr>
      <w:rFonts w:hint="eastAsia" w:ascii="仿宋_GB2312" w:eastAsia="仿宋_GB2312" w:cs="仿宋_GB2312"/>
      <w:color w:val="000000"/>
      <w:sz w:val="21"/>
      <w:szCs w:val="21"/>
      <w:u w:val="none"/>
    </w:rPr>
  </w:style>
  <w:style w:type="paragraph" w:customStyle="1" w:styleId="45">
    <w:name w:val="文档内容"/>
    <w:basedOn w:val="1"/>
    <w:qFormat/>
    <w:uiPriority w:val="0"/>
    <w:pPr>
      <w:spacing w:line="360" w:lineRule="auto"/>
      <w:ind w:firstLine="883" w:firstLineChars="200"/>
    </w:pPr>
    <w:rPr>
      <w:rFonts w:hint="default" w:eastAsia="仿宋" w:asciiTheme="minorAscii" w:hAnsiTheme="minorAscii"/>
      <w:sz w:val="28"/>
    </w:rPr>
  </w:style>
  <w:style w:type="paragraph" w:customStyle="1" w:styleId="46">
    <w:name w:val="表格文本"/>
    <w:basedOn w:val="1"/>
    <w:autoRedefine/>
    <w:qFormat/>
    <w:uiPriority w:val="0"/>
    <w:pPr>
      <w:spacing w:line="240" w:lineRule="auto"/>
      <w:ind w:firstLine="0" w:firstLineChars="0"/>
      <w:jc w:val="center"/>
    </w:pPr>
    <w:rPr>
      <w:rFonts w:cs="仿宋"/>
      <w:sz w:val="24"/>
    </w:rPr>
  </w:style>
  <w:style w:type="paragraph" w:customStyle="1" w:styleId="47">
    <w:name w:val="表头"/>
    <w:basedOn w:val="1"/>
    <w:autoRedefine/>
    <w:qFormat/>
    <w:uiPriority w:val="0"/>
    <w:pPr>
      <w:spacing w:line="240" w:lineRule="auto"/>
      <w:ind w:firstLine="0" w:firstLineChars="0"/>
      <w:jc w:val="center"/>
    </w:pPr>
    <w:rPr>
      <w:rFonts w:cs="仿宋" w:asciiTheme="minorAscii" w:hAnsiTheme="minorAscii"/>
      <w:b/>
      <w:sz w:val="24"/>
    </w:rPr>
  </w:style>
  <w:style w:type="paragraph" w:customStyle="1" w:styleId="48">
    <w:name w:val="表格内容"/>
    <w:basedOn w:val="1"/>
    <w:next w:val="6"/>
    <w:link w:val="49"/>
    <w:autoRedefine/>
    <w:qFormat/>
    <w:uiPriority w:val="0"/>
    <w:pPr>
      <w:spacing w:line="240" w:lineRule="auto"/>
      <w:ind w:firstLine="0" w:firstLineChars="0"/>
      <w:jc w:val="left"/>
    </w:pPr>
    <w:rPr>
      <w:rFonts w:eastAsia="仿宋" w:asciiTheme="minorAscii" w:hAnsiTheme="minorAscii"/>
      <w:sz w:val="24"/>
    </w:rPr>
  </w:style>
  <w:style w:type="character" w:customStyle="1" w:styleId="49">
    <w:name w:val="表格内容 Char"/>
    <w:link w:val="48"/>
    <w:autoRedefine/>
    <w:qFormat/>
    <w:uiPriority w:val="0"/>
    <w:rPr>
      <w:rFonts w:eastAsia="仿宋" w:asciiTheme="minorAscii" w:hAnsiTheme="minorAscii"/>
      <w:sz w:val="24"/>
    </w:rPr>
  </w:style>
  <w:style w:type="paragraph" w:customStyle="1" w:styleId="50">
    <w:name w:val="表注"/>
    <w:basedOn w:val="6"/>
    <w:next w:val="1"/>
    <w:autoRedefine/>
    <w:qFormat/>
    <w:uiPriority w:val="0"/>
    <w:pPr>
      <w:spacing w:line="240" w:lineRule="auto"/>
      <w:ind w:firstLine="0" w:firstLineChars="0"/>
      <w:jc w:val="center"/>
    </w:pPr>
    <w:rPr>
      <w:rFonts w:ascii="Calibri" w:hAnsi="Calibri"/>
      <w:b/>
      <w:sz w:val="24"/>
    </w:rPr>
  </w:style>
  <w:style w:type="paragraph" w:customStyle="1" w:styleId="51">
    <w:name w:val="Table Text"/>
    <w:basedOn w:val="1"/>
    <w:autoRedefine/>
    <w:semiHidden/>
    <w:qFormat/>
    <w:uiPriority w:val="0"/>
    <w:pPr>
      <w:widowControl/>
      <w:kinsoku w:val="0"/>
      <w:autoSpaceDE w:val="0"/>
      <w:autoSpaceDN w:val="0"/>
      <w:adjustRightInd w:val="0"/>
      <w:snapToGrid w:val="0"/>
      <w:jc w:val="left"/>
      <w:textAlignment w:val="baseline"/>
    </w:pPr>
    <w:rPr>
      <w:rFonts w:ascii="微软雅黑" w:hAnsi="微软雅黑" w:eastAsia="微软雅黑" w:cs="宋体"/>
      <w:color w:val="000000"/>
      <w:kern w:val="0"/>
      <w:sz w:val="20"/>
      <w:szCs w:val="20"/>
    </w:rPr>
  </w:style>
  <w:style w:type="paragraph" w:customStyle="1" w:styleId="52">
    <w:name w:val="表格标题"/>
    <w:basedOn w:val="1"/>
    <w:autoRedefine/>
    <w:qFormat/>
    <w:uiPriority w:val="0"/>
    <w:pPr>
      <w:widowControl/>
      <w:spacing w:line="240" w:lineRule="auto"/>
      <w:ind w:firstLine="0" w:firstLineChars="0"/>
      <w:jc w:val="center"/>
      <w:textAlignment w:val="center"/>
    </w:pPr>
    <w:rPr>
      <w:rFonts w:hint="eastAsia" w:ascii="仿宋" w:hAnsi="仿宋" w:cs="仿宋"/>
      <w:b/>
      <w:color w:val="auto"/>
      <w:kern w:val="0"/>
      <w:sz w:val="21"/>
      <w:szCs w:val="20"/>
      <w:u w:val="none"/>
      <w:lang w:bidi="ar"/>
    </w:rPr>
  </w:style>
  <w:style w:type="character" w:customStyle="1" w:styleId="53">
    <w:name w:val="标题 2 Char"/>
    <w:link w:val="2"/>
    <w:autoRedefine/>
    <w:qFormat/>
    <w:uiPriority w:val="0"/>
    <w:rPr>
      <w:rFonts w:ascii="Arial" w:hAnsi="Arial" w:eastAsia="仿宋"/>
      <w:b/>
    </w:rPr>
  </w:style>
  <w:style w:type="character" w:customStyle="1" w:styleId="54">
    <w:name w:val="标题 3 Char"/>
    <w:link w:val="4"/>
    <w:autoRedefine/>
    <w:qFormat/>
    <w:uiPriority w:val="9"/>
    <w:rPr>
      <w:rFonts w:eastAsia="黑体"/>
      <w:sz w:val="28"/>
    </w:rPr>
  </w:style>
  <w:style w:type="character" w:customStyle="1" w:styleId="55">
    <w:name w:val="纯文本 Char"/>
    <w:link w:val="6"/>
    <w:autoRedefine/>
    <w:qFormat/>
    <w:uiPriority w:val="0"/>
    <w:rPr>
      <w:rFonts w:ascii="宋体" w:hAnsi="Courier New"/>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2.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0FFF1E-DD7A-4630-992F-AD966560901A}">
  <ds:schemaRefs/>
</ds:datastoreItem>
</file>

<file path=docProps/app.xml><?xml version="1.0" encoding="utf-8"?>
<Properties xmlns="http://schemas.openxmlformats.org/officeDocument/2006/extended-properties" xmlns:vt="http://schemas.openxmlformats.org/officeDocument/2006/docPropsVTypes">
  <Template>Normal</Template>
  <Pages>66</Pages>
  <Words>2432</Words>
  <Characters>2602</Characters>
  <Lines>120</Lines>
  <Paragraphs>33</Paragraphs>
  <TotalTime>0</TotalTime>
  <ScaleCrop>false</ScaleCrop>
  <LinksUpToDate>false</LinksUpToDate>
  <CharactersWithSpaces>2643</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2024-04-15T00:42:00Z</dcterms:created>
  <dc:creator>Ace_DS</dc:creator>
  <cp:lastModifiedBy>李松</cp:lastModifiedBy>
  <cp:lastPrinted>2025-06-12T23:02:00Z</cp:lastPrinted>
  <dcterms:modified xsi:type="dcterms:W3CDTF">2025-09-05T03:19:18Z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F635AD88BE0D4017979EE32F1F80F773_13</vt:lpwstr>
  </property>
  <property fmtid="{D5CDD505-2E9C-101B-9397-08002B2CF9AE}" pid="4" name="KSOTemplateDocerSaveRecord">
    <vt:lpwstr>eyJoZGlkIjoiZWUwNThiN2EyMWJhOTA3MWJkNTJhNWQ5MGYzNjU4YTIiLCJ1c2VySWQiOiIyMzkwMTk0OCJ9</vt:lpwstr>
  </property>
</Properties>
</file>