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1312"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7"/>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ind w:firstLine="883"/>
        <w:jc w:val="center"/>
        <w:rPr>
          <w:rFonts w:hint="eastAsia" w:ascii="方正小标宋简体" w:hAnsi="华文宋体" w:eastAsia="方正小标宋简体" w:cs="Times New Roman"/>
          <w:b/>
          <w:sz w:val="44"/>
          <w:szCs w:val="44"/>
        </w:rPr>
      </w:pPr>
    </w:p>
    <w:p>
      <w:pPr>
        <w:spacing w:line="596" w:lineRule="exact"/>
        <w:rPr>
          <w:rFonts w:hint="eastAsia" w:ascii="方正小标宋简体" w:hAnsi="华文宋体" w:eastAsia="方正小标宋简体" w:cs="Times New Roman"/>
          <w:b/>
          <w:sz w:val="44"/>
          <w:szCs w:val="44"/>
        </w:rPr>
      </w:pP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2025级本科层次职业教育</w:t>
      </w:r>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现代物流管理专业</w:t>
      </w:r>
      <w:bookmarkStart w:id="0" w:name="_Toc25217"/>
    </w:p>
    <w:p>
      <w:pPr>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rPr>
          <w:rFonts w:hint="eastAsia" w:ascii="仿宋" w:hAnsi="仿宋" w:eastAsia="仿宋" w:cs="仿宋"/>
        </w:rPr>
      </w:pPr>
      <w:r>
        <w:rPr>
          <w:rFonts w:hint="eastAsia" w:ascii="仿宋" w:hAnsi="仿宋" w:eastAsia="仿宋" w:cs="仿宋"/>
        </w:rPr>
        <w:t xml:space="preserve"> </w:t>
      </w:r>
    </w:p>
    <w:p>
      <w:pPr>
        <w:ind w:firstLine="560"/>
        <w:jc w:val="left"/>
        <w:rPr>
          <w:rFonts w:hint="eastAsia" w:ascii="仿宋" w:hAnsi="仿宋" w:eastAsia="仿宋" w:cs="仿宋"/>
          <w:sz w:val="28"/>
          <w:szCs w:val="28"/>
        </w:rPr>
      </w:pPr>
    </w:p>
    <w:p>
      <w:pPr>
        <w:ind w:firstLine="562"/>
        <w:rPr>
          <w:rFonts w:hint="eastAsia" w:ascii="仿宋" w:hAnsi="仿宋" w:eastAsia="仿宋" w:cs="仿宋"/>
          <w:b/>
          <w:bCs/>
          <w:sz w:val="28"/>
          <w:szCs w:val="28"/>
        </w:rPr>
      </w:pPr>
    </w:p>
    <w:p>
      <w:pPr>
        <w:pStyle w:val="2"/>
        <w:rPr>
          <w:rFonts w:hint="eastAsia" w:ascii="仿宋" w:hAnsi="仿宋" w:eastAsia="仿宋" w:cs="仿宋"/>
          <w:bCs/>
          <w:sz w:val="28"/>
          <w:szCs w:val="28"/>
        </w:rPr>
      </w:pPr>
    </w:p>
    <w:p>
      <w:pPr>
        <w:rPr>
          <w:rFonts w:hint="eastAsia" w:ascii="仿宋" w:hAnsi="仿宋" w:eastAsia="仿宋" w:cs="仿宋"/>
          <w:b/>
          <w:bCs/>
          <w:sz w:val="28"/>
          <w:szCs w:val="28"/>
        </w:rPr>
      </w:pPr>
    </w:p>
    <w:p>
      <w:pPr>
        <w:pStyle w:val="2"/>
        <w:rPr>
          <w:rFonts w:hint="eastAsia" w:ascii="仿宋" w:hAnsi="仿宋" w:eastAsia="仿宋" w:cs="仿宋"/>
          <w:bCs/>
          <w:sz w:val="28"/>
          <w:szCs w:val="28"/>
        </w:rPr>
      </w:pPr>
    </w:p>
    <w:p>
      <w:pPr>
        <w:rPr>
          <w:rFonts w:hint="eastAsia" w:ascii="仿宋" w:hAnsi="仿宋" w:eastAsia="仿宋" w:cs="仿宋"/>
          <w:b/>
          <w:bCs/>
          <w:sz w:val="28"/>
          <w:szCs w:val="28"/>
        </w:rPr>
      </w:pPr>
    </w:p>
    <w:p>
      <w:pPr>
        <w:pStyle w:val="2"/>
      </w:pPr>
    </w:p>
    <w:p>
      <w:pPr>
        <w:pStyle w:val="2"/>
        <w:rPr>
          <w:rFonts w:hint="eastAsia" w:ascii="仿宋" w:hAnsi="仿宋" w:eastAsia="仿宋" w:cs="仿宋"/>
          <w:bCs/>
          <w:sz w:val="28"/>
          <w:szCs w:val="28"/>
        </w:rPr>
      </w:pPr>
    </w:p>
    <w:p/>
    <w:p/>
    <w:p>
      <w:pPr>
        <w:jc w:val="center"/>
        <w:rPr>
          <w:rFonts w:hint="eastAsia" w:ascii="黑体" w:hAnsi="黑体" w:eastAsia="黑体" w:cs="黑体"/>
          <w:b/>
          <w:bCs/>
          <w:sz w:val="36"/>
        </w:rPr>
      </w:pPr>
      <w:r>
        <w:rPr>
          <w:rFonts w:hint="eastAsia" w:ascii="黑体" w:hAnsi="黑体" w:eastAsia="黑体" w:cs="黑体"/>
          <w:b/>
          <w:bCs/>
          <w:sz w:val="36"/>
        </w:rPr>
        <w:t>二O二五年</w:t>
      </w:r>
    </w:p>
    <w:p>
      <w:pPr>
        <w:pStyle w:val="3"/>
        <w:spacing w:before="40" w:after="40" w:line="360" w:lineRule="auto"/>
        <w:ind w:firstLine="602" w:firstLineChars="200"/>
        <w:rPr>
          <w:rFonts w:hint="eastAsia" w:ascii="黑体" w:hAnsi="黑体" w:eastAsia="黑体" w:cs="黑体"/>
          <w:sz w:val="30"/>
          <w:szCs w:val="30"/>
        </w:rPr>
        <w:sectPr>
          <w:pgSz w:w="11906" w:h="16838"/>
          <w:pgMar w:top="1440" w:right="1800" w:bottom="1440" w:left="1800" w:header="851" w:footer="992" w:gutter="0"/>
          <w:cols w:space="425" w:num="1"/>
          <w:docGrid w:type="lines" w:linePitch="312" w:charSpace="0"/>
        </w:sectPr>
      </w:pP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黑体" w:hAnsi="黑体" w:eastAsia="黑体" w:cs="黑体"/>
          <w:b/>
          <w:bCs/>
          <w:kern w:val="44"/>
          <w:sz w:val="44"/>
          <w:szCs w:val="30"/>
        </w:rPr>
      </w:sdtEndPr>
      <w:sdtContent>
        <w:p>
          <w:pPr>
            <w:spacing w:line="360" w:lineRule="exact"/>
            <w:jc w:val="center"/>
            <w:rPr>
              <w:b/>
              <w:bCs/>
              <w:sz w:val="32"/>
              <w:szCs w:val="40"/>
            </w:rP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p>
        <w:p>
          <w:pPr>
            <w:pStyle w:val="11"/>
            <w:tabs>
              <w:tab w:val="right" w:leader="dot" w:pos="8306"/>
            </w:tabs>
          </w:pP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"_Toc2443" </w:instrText>
          </w:r>
          <w:r>
            <w:fldChar w:fldCharType="separate"/>
          </w:r>
          <w:r>
            <w:rPr>
              <w:rFonts w:hint="eastAsia" w:ascii="宋体" w:hAnsi="宋体" w:eastAsia="宋体" w:cs="宋体"/>
              <w:b/>
              <w:bCs/>
              <w:sz w:val="24"/>
              <w:szCs w:val="36"/>
            </w:rPr>
            <w:t>一、专业名称及代码</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_Toc2443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"_Toc28249" </w:instrText>
          </w:r>
          <w:r>
            <w:fldChar w:fldCharType="separate"/>
          </w:r>
          <w:r>
            <w:rPr>
              <w:rFonts w:hint="eastAsia" w:ascii="宋体" w:hAnsi="宋体" w:eastAsia="宋体" w:cs="宋体"/>
              <w:b/>
              <w:bCs/>
              <w:sz w:val="24"/>
              <w:szCs w:val="36"/>
            </w:rPr>
            <w:t>二、入学要求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_Toc28249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"_Toc6831" </w:instrText>
          </w:r>
          <w:r>
            <w:fldChar w:fldCharType="separate"/>
          </w:r>
          <w:r>
            <w:rPr>
              <w:rFonts w:hint="eastAsia" w:ascii="宋体" w:hAnsi="宋体" w:eastAsia="宋体" w:cs="宋体"/>
              <w:b/>
              <w:bCs/>
              <w:sz w:val="24"/>
              <w:szCs w:val="36"/>
            </w:rPr>
            <w:t>三、修业年限</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_Toc6831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"_Toc20765" </w:instrText>
          </w:r>
          <w:r>
            <w:fldChar w:fldCharType="separate"/>
          </w:r>
          <w:r>
            <w:rPr>
              <w:rFonts w:hint="eastAsia" w:ascii="宋体" w:hAnsi="宋体" w:eastAsia="宋体" w:cs="宋体"/>
              <w:b/>
              <w:bCs/>
              <w:sz w:val="24"/>
              <w:szCs w:val="36"/>
            </w:rPr>
            <w:t>四、职业面向</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_Toc20765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0"/>
            <w:tabs>
              <w:tab w:val="right" w:leader="dot" w:pos="8306"/>
            </w:tabs>
            <w:spacing w:line="420" w:lineRule="exact"/>
            <w:rPr>
              <w:rFonts w:hint="eastAsia" w:ascii="宋体" w:hAnsi="宋体" w:eastAsia="宋体" w:cs="宋体"/>
              <w:sz w:val="24"/>
              <w:szCs w:val="32"/>
            </w:rPr>
          </w:pPr>
          <w:r>
            <w:fldChar w:fldCharType="begin"/>
          </w:r>
          <w:r>
            <w:instrText xml:space="preserve"> HYPERLINK \l "_Toc22636" </w:instrText>
          </w:r>
          <w:r>
            <w:fldChar w:fldCharType="separate"/>
          </w:r>
          <w:r>
            <w:rPr>
              <w:rFonts w:hint="eastAsia" w:ascii="宋体" w:hAnsi="宋体" w:eastAsia="宋体" w:cs="宋体"/>
              <w:b/>
              <w:bCs/>
              <w:sz w:val="24"/>
              <w:szCs w:val="36"/>
            </w:rPr>
            <w:t>五、培养目标与培养规格</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_Toc22636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"_Toc27622" </w:instrText>
          </w:r>
          <w:r>
            <w:fldChar w:fldCharType="separate"/>
          </w:r>
          <w:r>
            <w:rPr>
              <w:rFonts w:hint="eastAsia" w:ascii="宋体" w:hAnsi="宋体" w:eastAsia="宋体" w:cs="宋体"/>
              <w:sz w:val="24"/>
              <w:szCs w:val="44"/>
            </w:rPr>
            <w:t>（一）培养目标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_Toc27622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"_Toc31159" </w:instrText>
          </w:r>
          <w:r>
            <w:fldChar w:fldCharType="separate"/>
          </w:r>
          <w:r>
            <w:rPr>
              <w:rFonts w:hint="eastAsia" w:ascii="宋体" w:hAnsi="宋体" w:eastAsia="宋体" w:cs="宋体"/>
              <w:sz w:val="24"/>
              <w:szCs w:val="44"/>
            </w:rPr>
            <w:t>（二）培养规格</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_Toc31159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"_Toc27196" </w:instrText>
          </w:r>
          <w:r>
            <w:fldChar w:fldCharType="separate"/>
          </w:r>
          <w:r>
            <w:rPr>
              <w:rFonts w:hint="eastAsia" w:ascii="宋体" w:hAnsi="宋体" w:eastAsia="宋体" w:cs="宋体"/>
              <w:b/>
              <w:bCs/>
              <w:sz w:val="24"/>
              <w:szCs w:val="36"/>
            </w:rPr>
            <w:t>六、课程设置及要求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_Toc27196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"_Toc12977" </w:instrText>
          </w:r>
          <w:r>
            <w:fldChar w:fldCharType="separate"/>
          </w:r>
          <w:r>
            <w:rPr>
              <w:rFonts w:hint="eastAsia" w:ascii="宋体" w:hAnsi="宋体" w:eastAsia="宋体" w:cs="宋体"/>
              <w:sz w:val="24"/>
              <w:szCs w:val="44"/>
            </w:rPr>
            <w:t>（一</w:t>
          </w:r>
          <w:bookmarkStart w:id="65" w:name="_GoBack"/>
          <w:bookmarkEnd w:id="65"/>
          <w:r>
            <w:rPr>
              <w:rFonts w:hint="eastAsia" w:ascii="宋体" w:hAnsi="宋体" w:eastAsia="宋体" w:cs="宋体"/>
              <w:sz w:val="24"/>
              <w:szCs w:val="44"/>
            </w:rPr>
            <w:t>）课程体系</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_Toc12977 \h </w:instrText>
          </w:r>
          <w:r>
            <w:rPr>
              <w:rFonts w:hint="eastAsia" w:ascii="宋体" w:hAnsi="宋体" w:eastAsia="宋体" w:cs="宋体"/>
              <w:sz w:val="24"/>
              <w:szCs w:val="32"/>
            </w:rPr>
            <w:fldChar w:fldCharType="separate"/>
          </w:r>
          <w:r>
            <w:rPr>
              <w:rFonts w:hint="eastAsia" w:ascii="宋体" w:hAnsi="宋体" w:eastAsia="宋体" w:cs="宋体"/>
              <w:sz w:val="24"/>
              <w:szCs w:val="32"/>
            </w:rPr>
            <w:t>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"_Toc4982" </w:instrText>
          </w:r>
          <w:r>
            <w:fldChar w:fldCharType="separate"/>
          </w:r>
          <w:r>
            <w:rPr>
              <w:rFonts w:hint="eastAsia" w:ascii="宋体" w:hAnsi="宋体" w:eastAsia="宋体" w:cs="宋体"/>
              <w:sz w:val="24"/>
              <w:szCs w:val="44"/>
            </w:rPr>
            <w:t>（二）课程设置</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_Toc4982 \h </w:instrText>
          </w:r>
          <w:r>
            <w:rPr>
              <w:rFonts w:hint="eastAsia" w:ascii="宋体" w:hAnsi="宋体" w:eastAsia="宋体" w:cs="宋体"/>
              <w:sz w:val="24"/>
              <w:szCs w:val="32"/>
            </w:rPr>
            <w:fldChar w:fldCharType="separate"/>
          </w:r>
          <w:r>
            <w:rPr>
              <w:rFonts w:hint="eastAsia" w:ascii="宋体" w:hAnsi="宋体" w:eastAsia="宋体" w:cs="宋体"/>
              <w:sz w:val="24"/>
              <w:szCs w:val="32"/>
            </w:rPr>
            <w:t>5</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"_Toc27181" </w:instrText>
          </w:r>
          <w:r>
            <w:fldChar w:fldCharType="separate"/>
          </w:r>
          <w:r>
            <w:rPr>
              <w:rFonts w:hint="eastAsia" w:ascii="宋体" w:hAnsi="宋体" w:eastAsia="宋体" w:cs="宋体"/>
              <w:b/>
              <w:bCs/>
              <w:sz w:val="24"/>
              <w:szCs w:val="36"/>
            </w:rPr>
            <w:t>七、教学进度总体安排</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_Toc27181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20</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"_Toc17573" </w:instrText>
          </w:r>
          <w:r>
            <w:fldChar w:fldCharType="separate"/>
          </w:r>
          <w:r>
            <w:rPr>
              <w:rFonts w:hint="eastAsia" w:ascii="宋体" w:hAnsi="宋体" w:eastAsia="宋体" w:cs="宋体"/>
              <w:sz w:val="24"/>
              <w:szCs w:val="44"/>
            </w:rPr>
            <w:t>（一）教学活动时间分配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_Toc17573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"_Toc31832" </w:instrText>
          </w:r>
          <w:r>
            <w:fldChar w:fldCharType="separate"/>
          </w:r>
          <w:r>
            <w:rPr>
              <w:rFonts w:hint="eastAsia" w:ascii="宋体" w:hAnsi="宋体" w:eastAsia="宋体" w:cs="宋体"/>
              <w:sz w:val="24"/>
              <w:szCs w:val="44"/>
            </w:rPr>
            <w:t>（二）课程学分学时比例构成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_Toc31832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"_Toc5913" </w:instrText>
          </w:r>
          <w:r>
            <w:fldChar w:fldCharType="separate"/>
          </w:r>
          <w:r>
            <w:rPr>
              <w:rFonts w:hint="eastAsia" w:ascii="宋体" w:hAnsi="宋体" w:eastAsia="宋体" w:cs="宋体"/>
              <w:sz w:val="24"/>
              <w:szCs w:val="44"/>
            </w:rPr>
            <w:t>（三）第一课堂进程安排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_Toc5913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"_Toc31667" </w:instrText>
          </w:r>
          <w:r>
            <w:fldChar w:fldCharType="separate"/>
          </w:r>
          <w:r>
            <w:rPr>
              <w:rFonts w:hint="eastAsia" w:ascii="宋体" w:hAnsi="宋体" w:eastAsia="宋体" w:cs="宋体"/>
              <w:sz w:val="24"/>
              <w:szCs w:val="44"/>
            </w:rPr>
            <w:t>（四）第二课堂活动安排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_Toc31667 \h </w:instrText>
          </w:r>
          <w:r>
            <w:rPr>
              <w:rFonts w:hint="eastAsia" w:ascii="宋体" w:hAnsi="宋体" w:eastAsia="宋体" w:cs="宋体"/>
              <w:sz w:val="24"/>
              <w:szCs w:val="32"/>
            </w:rPr>
            <w:fldChar w:fldCharType="separate"/>
          </w:r>
          <w:r>
            <w:rPr>
              <w:rFonts w:hint="eastAsia" w:ascii="宋体" w:hAnsi="宋体" w:eastAsia="宋体" w:cs="宋体"/>
              <w:sz w:val="24"/>
              <w:szCs w:val="32"/>
            </w:rPr>
            <w:t>21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"_Toc27067" </w:instrText>
          </w:r>
          <w:r>
            <w:fldChar w:fldCharType="separate"/>
          </w:r>
          <w:r>
            <w:rPr>
              <w:rFonts w:hint="eastAsia" w:ascii="宋体" w:hAnsi="宋体" w:eastAsia="宋体" w:cs="宋体"/>
              <w:b/>
              <w:bCs/>
              <w:sz w:val="24"/>
              <w:szCs w:val="36"/>
            </w:rPr>
            <w:t>八、实施保障</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_Toc27067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26</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"_Toc28671" </w:instrText>
          </w:r>
          <w:r>
            <w:fldChar w:fldCharType="separate"/>
          </w:r>
          <w:r>
            <w:rPr>
              <w:rFonts w:hint="eastAsia" w:ascii="宋体" w:hAnsi="宋体" w:eastAsia="宋体" w:cs="宋体"/>
              <w:sz w:val="24"/>
              <w:szCs w:val="44"/>
            </w:rPr>
            <w:t>（一）实训基地配备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_Toc28671 \h </w:instrText>
          </w:r>
          <w:r>
            <w:rPr>
              <w:rFonts w:hint="eastAsia" w:ascii="宋体" w:hAnsi="宋体" w:eastAsia="宋体" w:cs="宋体"/>
              <w:sz w:val="24"/>
              <w:szCs w:val="32"/>
            </w:rPr>
            <w:fldChar w:fldCharType="separate"/>
          </w:r>
          <w:r>
            <w:rPr>
              <w:rFonts w:hint="eastAsia" w:ascii="宋体" w:hAnsi="宋体" w:eastAsia="宋体" w:cs="宋体"/>
              <w:sz w:val="24"/>
              <w:szCs w:val="32"/>
            </w:rPr>
            <w:t>26</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"_Toc3807" </w:instrText>
          </w:r>
          <w:r>
            <w:fldChar w:fldCharType="separate"/>
          </w:r>
          <w:r>
            <w:rPr>
              <w:rFonts w:hint="eastAsia" w:ascii="宋体" w:hAnsi="宋体" w:eastAsia="宋体" w:cs="宋体"/>
              <w:sz w:val="24"/>
              <w:szCs w:val="44"/>
            </w:rPr>
            <w:t>（二）结构化教学团队</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_Toc3807 \h </w:instrText>
          </w:r>
          <w:r>
            <w:rPr>
              <w:rFonts w:hint="eastAsia" w:ascii="宋体" w:hAnsi="宋体" w:eastAsia="宋体" w:cs="宋体"/>
              <w:sz w:val="24"/>
              <w:szCs w:val="32"/>
            </w:rPr>
            <w:fldChar w:fldCharType="separate"/>
          </w:r>
          <w:r>
            <w:rPr>
              <w:rFonts w:hint="eastAsia" w:ascii="宋体" w:hAnsi="宋体" w:eastAsia="宋体" w:cs="宋体"/>
              <w:sz w:val="24"/>
              <w:szCs w:val="32"/>
            </w:rPr>
            <w:t>28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"_Toc27116" </w:instrText>
          </w:r>
          <w:r>
            <w:fldChar w:fldCharType="separate"/>
          </w:r>
          <w:r>
            <w:rPr>
              <w:rFonts w:hint="eastAsia" w:ascii="宋体" w:hAnsi="宋体" w:eastAsia="宋体" w:cs="宋体"/>
              <w:sz w:val="24"/>
              <w:szCs w:val="44"/>
            </w:rPr>
            <w:t>（三）教学资源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_Toc27116 \h </w:instrText>
          </w:r>
          <w:r>
            <w:rPr>
              <w:rFonts w:hint="eastAsia" w:ascii="宋体" w:hAnsi="宋体" w:eastAsia="宋体" w:cs="宋体"/>
              <w:sz w:val="24"/>
              <w:szCs w:val="32"/>
            </w:rPr>
            <w:fldChar w:fldCharType="separate"/>
          </w:r>
          <w:r>
            <w:rPr>
              <w:rFonts w:hint="eastAsia" w:ascii="宋体" w:hAnsi="宋体" w:eastAsia="宋体" w:cs="宋体"/>
              <w:sz w:val="24"/>
              <w:szCs w:val="32"/>
            </w:rPr>
            <w:t>29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"_Toc2987" </w:instrText>
          </w:r>
          <w:r>
            <w:fldChar w:fldCharType="separate"/>
          </w:r>
          <w:r>
            <w:rPr>
              <w:rFonts w:hint="eastAsia" w:ascii="宋体" w:hAnsi="宋体" w:eastAsia="宋体" w:cs="宋体"/>
              <w:sz w:val="24"/>
              <w:szCs w:val="44"/>
            </w:rPr>
            <w:t>（四）教学方法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_Toc2987 \h </w:instrText>
          </w:r>
          <w:r>
            <w:rPr>
              <w:rFonts w:hint="eastAsia" w:ascii="宋体" w:hAnsi="宋体" w:eastAsia="宋体" w:cs="宋体"/>
              <w:sz w:val="24"/>
              <w:szCs w:val="32"/>
            </w:rPr>
            <w:fldChar w:fldCharType="separate"/>
          </w:r>
          <w:r>
            <w:rPr>
              <w:rFonts w:hint="eastAsia" w:ascii="宋体" w:hAnsi="宋体" w:eastAsia="宋体" w:cs="宋体"/>
              <w:sz w:val="24"/>
              <w:szCs w:val="32"/>
            </w:rPr>
            <w:t>29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"_Toc16360" </w:instrText>
          </w:r>
          <w:r>
            <w:fldChar w:fldCharType="separate"/>
          </w:r>
          <w:r>
            <w:rPr>
              <w:rFonts w:hint="eastAsia" w:ascii="宋体" w:hAnsi="宋体" w:eastAsia="宋体" w:cs="宋体"/>
              <w:sz w:val="24"/>
              <w:szCs w:val="44"/>
            </w:rPr>
            <w:t>（五）学习评价</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_Toc16360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"_Toc47" </w:instrText>
          </w:r>
          <w:r>
            <w:fldChar w:fldCharType="separate"/>
          </w:r>
          <w:r>
            <w:rPr>
              <w:rFonts w:hint="eastAsia" w:ascii="宋体" w:hAnsi="宋体" w:eastAsia="宋体" w:cs="宋体"/>
              <w:sz w:val="24"/>
              <w:szCs w:val="44"/>
            </w:rPr>
            <w:t>（六）质量保障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_Toc47 \h </w:instrText>
          </w:r>
          <w:r>
            <w:rPr>
              <w:rFonts w:hint="eastAsia" w:ascii="宋体" w:hAnsi="宋体" w:eastAsia="宋体" w:cs="宋体"/>
              <w:sz w:val="24"/>
              <w:szCs w:val="32"/>
            </w:rPr>
            <w:fldChar w:fldCharType="separate"/>
          </w:r>
          <w:r>
            <w:rPr>
              <w:rFonts w:hint="eastAsia" w:ascii="宋体" w:hAnsi="宋体" w:eastAsia="宋体" w:cs="宋体"/>
              <w:sz w:val="24"/>
              <w:szCs w:val="32"/>
            </w:rPr>
            <w:t>30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"_Toc27668" </w:instrText>
          </w:r>
          <w:r>
            <w:fldChar w:fldCharType="separate"/>
          </w:r>
          <w:r>
            <w:rPr>
              <w:rFonts w:hint="eastAsia" w:ascii="宋体" w:hAnsi="宋体" w:eastAsia="宋体" w:cs="宋体"/>
              <w:b/>
              <w:bCs/>
              <w:sz w:val="24"/>
              <w:szCs w:val="36"/>
            </w:rPr>
            <w:t>九、毕业要求及学位授予</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_Toc27668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"_Toc5931" </w:instrText>
          </w:r>
          <w:r>
            <w:fldChar w:fldCharType="separate"/>
          </w:r>
          <w:r>
            <w:rPr>
              <w:rFonts w:hint="eastAsia" w:ascii="宋体" w:hAnsi="宋体" w:eastAsia="宋体" w:cs="宋体"/>
              <w:sz w:val="24"/>
              <w:szCs w:val="44"/>
            </w:rPr>
            <w:t>（一）毕业要求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_Toc5931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"_Toc10945" </w:instrText>
          </w:r>
          <w:r>
            <w:fldChar w:fldCharType="separate"/>
          </w:r>
          <w:r>
            <w:rPr>
              <w:rFonts w:hint="eastAsia" w:ascii="宋体" w:hAnsi="宋体" w:eastAsia="宋体" w:cs="宋体"/>
              <w:sz w:val="24"/>
              <w:szCs w:val="44"/>
            </w:rPr>
            <w:t>（二）学位授予</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_Toc10945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0"/>
            <w:tabs>
              <w:tab w:val="right" w:leader="dot" w:pos="8306"/>
            </w:tabs>
            <w:spacing w:line="420" w:lineRule="exact"/>
            <w:rPr>
              <w:rFonts w:hint="eastAsia" w:ascii="宋体" w:hAnsi="宋体" w:eastAsia="宋体" w:cs="宋体"/>
              <w:b/>
              <w:bCs/>
              <w:sz w:val="24"/>
              <w:szCs w:val="32"/>
            </w:rPr>
          </w:pPr>
          <w:r>
            <w:fldChar w:fldCharType="begin"/>
          </w:r>
          <w:r>
            <w:instrText xml:space="preserve"> HYPERLINK \l "_Toc19930" </w:instrText>
          </w:r>
          <w:r>
            <w:fldChar w:fldCharType="separate"/>
          </w:r>
          <w:r>
            <w:rPr>
              <w:rFonts w:hint="eastAsia" w:ascii="宋体" w:hAnsi="宋体" w:eastAsia="宋体" w:cs="宋体"/>
              <w:b/>
              <w:bCs/>
              <w:sz w:val="24"/>
              <w:szCs w:val="36"/>
            </w:rPr>
            <w:t>十、附录</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_Toc19930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"_Toc13743" </w:instrText>
          </w:r>
          <w:r>
            <w:fldChar w:fldCharType="separate"/>
          </w:r>
          <w:r>
            <w:rPr>
              <w:rFonts w:hint="eastAsia" w:ascii="宋体" w:hAnsi="宋体" w:eastAsia="宋体" w:cs="宋体"/>
              <w:sz w:val="24"/>
              <w:szCs w:val="44"/>
            </w:rPr>
            <w:t>（一）第一课堂进程安排表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_Toc13743 \h </w:instrText>
          </w:r>
          <w:r>
            <w:rPr>
              <w:rFonts w:hint="eastAsia" w:ascii="宋体" w:hAnsi="宋体" w:eastAsia="宋体" w:cs="宋体"/>
              <w:sz w:val="24"/>
              <w:szCs w:val="32"/>
            </w:rPr>
            <w:fldChar w:fldCharType="separate"/>
          </w:r>
          <w:r>
            <w:rPr>
              <w:rFonts w:hint="eastAsia" w:ascii="宋体" w:hAnsi="宋体" w:eastAsia="宋体" w:cs="宋体"/>
              <w:sz w:val="24"/>
              <w:szCs w:val="32"/>
            </w:rPr>
            <w:t>31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"_Toc2755" </w:instrText>
          </w:r>
          <w:r>
            <w:fldChar w:fldCharType="separate"/>
          </w:r>
          <w:r>
            <w:rPr>
              <w:rFonts w:hint="eastAsia" w:ascii="宋体" w:hAnsi="宋体" w:eastAsia="宋体" w:cs="宋体"/>
              <w:sz w:val="24"/>
              <w:szCs w:val="44"/>
            </w:rPr>
            <w:t>（二）第二课堂活动安排表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_Toc2755 \h </w:instrText>
          </w:r>
          <w:r>
            <w:rPr>
              <w:rFonts w:hint="eastAsia" w:ascii="宋体" w:hAnsi="宋体" w:eastAsia="宋体" w:cs="宋体"/>
              <w:sz w:val="24"/>
              <w:szCs w:val="32"/>
            </w:rPr>
            <w:fldChar w:fldCharType="separate"/>
          </w:r>
          <w:r>
            <w:rPr>
              <w:rFonts w:hint="eastAsia" w:ascii="宋体" w:hAnsi="宋体" w:eastAsia="宋体" w:cs="宋体"/>
              <w:sz w:val="24"/>
              <w:szCs w:val="32"/>
            </w:rPr>
            <w:t>37</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rFonts w:hint="eastAsia" w:ascii="宋体" w:hAnsi="宋体" w:eastAsia="宋体" w:cs="宋体"/>
              <w:sz w:val="24"/>
              <w:szCs w:val="32"/>
            </w:rPr>
          </w:pPr>
          <w:r>
            <w:fldChar w:fldCharType="begin"/>
          </w:r>
          <w:r>
            <w:instrText xml:space="preserve"> HYPERLINK \l "_Toc9726" </w:instrText>
          </w:r>
          <w:r>
            <w:fldChar w:fldCharType="separate"/>
          </w:r>
          <w:r>
            <w:rPr>
              <w:rFonts w:hint="eastAsia" w:ascii="宋体" w:hAnsi="宋体" w:eastAsia="宋体" w:cs="宋体"/>
              <w:sz w:val="24"/>
              <w:szCs w:val="44"/>
            </w:rPr>
            <w:t>（三）专业人才培养方案制定的说明</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_Toc9726 \h </w:instrText>
          </w:r>
          <w:r>
            <w:rPr>
              <w:rFonts w:hint="eastAsia" w:ascii="宋体" w:hAnsi="宋体" w:eastAsia="宋体" w:cs="宋体"/>
              <w:sz w:val="24"/>
              <w:szCs w:val="32"/>
            </w:rPr>
            <w:fldChar w:fldCharType="separate"/>
          </w:r>
          <w:r>
            <w:rPr>
              <w:rFonts w:hint="eastAsia" w:ascii="宋体" w:hAnsi="宋体" w:eastAsia="宋体" w:cs="宋体"/>
              <w:sz w:val="24"/>
              <w:szCs w:val="32"/>
            </w:rPr>
            <w:t>41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tabs>
              <w:tab w:val="right" w:leader="dot" w:pos="8306"/>
            </w:tabs>
            <w:spacing w:line="420" w:lineRule="exact"/>
            <w:rPr>
              <w:sz w:val="22"/>
              <w:szCs w:val="28"/>
            </w:rPr>
          </w:pPr>
          <w:r>
            <w:fldChar w:fldCharType="begin"/>
          </w:r>
          <w:r>
            <w:instrText xml:space="preserve"> HYPERLINK \l "_Toc1106" </w:instrText>
          </w:r>
          <w:r>
            <w:fldChar w:fldCharType="separate"/>
          </w:r>
          <w:r>
            <w:rPr>
              <w:rFonts w:hint="eastAsia" w:ascii="宋体" w:hAnsi="宋体" w:eastAsia="宋体" w:cs="宋体"/>
              <w:sz w:val="24"/>
              <w:szCs w:val="44"/>
            </w:rPr>
            <w:t>（四）专业对应的职业/岗位分析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_Toc1106 \h </w:instrText>
          </w:r>
          <w:r>
            <w:rPr>
              <w:rFonts w:hint="eastAsia" w:ascii="宋体" w:hAnsi="宋体" w:eastAsia="宋体" w:cs="宋体"/>
              <w:sz w:val="24"/>
              <w:szCs w:val="32"/>
            </w:rPr>
            <w:fldChar w:fldCharType="separate"/>
          </w:r>
          <w:r>
            <w:rPr>
              <w:rFonts w:hint="eastAsia" w:ascii="宋体" w:hAnsi="宋体" w:eastAsia="宋体" w:cs="宋体"/>
              <w:sz w:val="24"/>
              <w:szCs w:val="32"/>
            </w:rPr>
            <w:t>41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3"/>
            <w:spacing w:before="40" w:after="40" w:line="380" w:lineRule="exact"/>
            <w:rPr>
              <w:rFonts w:hint="eastAsia" w:ascii="黑体" w:hAnsi="黑体" w:eastAsia="黑体" w:cs="黑体"/>
              <w:sz w:val="30"/>
              <w:szCs w:val="30"/>
            </w:rPr>
            <w:sectPr>
              <w:footerReference r:id="rId3" w:type="default"/>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sdtContent>
    </w:sdt>
    <w:p>
      <w:pPr>
        <w:pStyle w:val="3"/>
        <w:spacing w:before="40" w:after="40" w:line="360" w:lineRule="auto"/>
        <w:ind w:firstLine="602" w:firstLineChars="200"/>
        <w:rPr>
          <w:rFonts w:hint="eastAsia" w:ascii="黑体" w:hAnsi="黑体" w:eastAsia="黑体" w:cs="黑体"/>
          <w:sz w:val="30"/>
          <w:szCs w:val="30"/>
        </w:rPr>
      </w:pPr>
      <w:bookmarkStart w:id="1" w:name="_Toc2443"/>
      <w:r>
        <w:rPr>
          <w:rFonts w:hint="eastAsia" w:ascii="黑体" w:hAnsi="黑体" w:eastAsia="黑体" w:cs="黑体"/>
          <w:sz w:val="30"/>
          <w:szCs w:val="30"/>
        </w:rPr>
        <w:t>一、专业名称及代码</w:t>
      </w:r>
      <w:bookmarkEnd w:id="1"/>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专业名称：现代物流管理</w:t>
      </w:r>
    </w:p>
    <w:p>
      <w:pPr>
        <w:adjustRightInd w:val="0"/>
        <w:snapToGrid w:val="0"/>
        <w:spacing w:line="360" w:lineRule="auto"/>
        <w:ind w:firstLine="560" w:firstLineChars="200"/>
      </w:pPr>
      <w:r>
        <w:rPr>
          <w:rFonts w:hint="eastAsia" w:ascii="仿宋" w:hAnsi="仿宋" w:eastAsia="仿宋" w:cs="仿宋"/>
          <w:sz w:val="28"/>
          <w:szCs w:val="28"/>
        </w:rPr>
        <w:t>专业代码：330802</w:t>
      </w:r>
    </w:p>
    <w:p>
      <w:pPr>
        <w:pStyle w:val="3"/>
        <w:spacing w:before="40" w:after="40" w:line="360" w:lineRule="auto"/>
        <w:ind w:firstLine="602" w:firstLineChars="200"/>
        <w:rPr>
          <w:rFonts w:hint="eastAsia" w:ascii="黑体" w:hAnsi="黑体" w:eastAsia="黑体" w:cs="黑体"/>
          <w:sz w:val="30"/>
          <w:szCs w:val="30"/>
        </w:rPr>
      </w:pPr>
      <w:bookmarkStart w:id="2" w:name="_Toc28249"/>
      <w:r>
        <w:rPr>
          <w:rFonts w:hint="eastAsia" w:ascii="黑体" w:hAnsi="黑体" w:eastAsia="黑体" w:cs="黑体"/>
          <w:sz w:val="30"/>
          <w:szCs w:val="30"/>
        </w:rPr>
        <w:t>二、入学要求</w:t>
      </w:r>
      <w:bookmarkEnd w:id="2"/>
    </w:p>
    <w:p>
      <w:pPr>
        <w:adjustRightInd w:val="0"/>
        <w:snapToGrid w:val="0"/>
        <w:spacing w:line="360" w:lineRule="auto"/>
        <w:rPr>
          <w:rFonts w:hint="eastAsia" w:ascii="仿宋" w:hAnsi="仿宋" w:eastAsia="仿宋" w:cs="仿宋"/>
          <w:sz w:val="28"/>
          <w:szCs w:val="28"/>
        </w:rPr>
      </w:pPr>
      <w:r>
        <w:rPr>
          <w:rFonts w:hint="eastAsia" w:ascii="仿宋" w:hAnsi="仿宋" w:eastAsia="仿宋" w:cs="仿宋"/>
          <w:b/>
          <w:bCs/>
          <w:sz w:val="28"/>
          <w:szCs w:val="28"/>
        </w:rPr>
        <w:t xml:space="preserve">    </w:t>
      </w:r>
      <w:r>
        <w:rPr>
          <w:rFonts w:hint="eastAsia" w:ascii="仿宋" w:hAnsi="仿宋" w:eastAsia="仿宋" w:cs="仿宋"/>
          <w:sz w:val="28"/>
          <w:szCs w:val="28"/>
        </w:rPr>
        <w:t>应届高中毕业生或具有同等学力的学生。</w:t>
      </w:r>
    </w:p>
    <w:p>
      <w:pPr>
        <w:pStyle w:val="3"/>
        <w:spacing w:before="40" w:after="40" w:line="360" w:lineRule="auto"/>
        <w:ind w:firstLine="602" w:firstLineChars="200"/>
        <w:rPr>
          <w:rFonts w:hint="eastAsia" w:ascii="黑体" w:hAnsi="黑体" w:eastAsia="黑体" w:cs="黑体"/>
          <w:sz w:val="30"/>
          <w:szCs w:val="30"/>
        </w:rPr>
      </w:pPr>
      <w:bookmarkStart w:id="3" w:name="_Toc6831"/>
      <w:r>
        <w:rPr>
          <w:rFonts w:hint="eastAsia" w:ascii="黑体" w:hAnsi="黑体" w:eastAsia="黑体" w:cs="黑体"/>
          <w:sz w:val="30"/>
          <w:szCs w:val="30"/>
        </w:rPr>
        <w:t>三、修业年限</w:t>
      </w:r>
      <w:bookmarkEnd w:id="3"/>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基本学制为4年。实行弹性学制，修业年限3～6年。</w:t>
      </w:r>
    </w:p>
    <w:p>
      <w:pPr>
        <w:pStyle w:val="3"/>
        <w:spacing w:before="40" w:after="40" w:line="360" w:lineRule="auto"/>
        <w:ind w:firstLine="602" w:firstLineChars="200"/>
        <w:rPr>
          <w:rFonts w:hint="eastAsia" w:ascii="黑体" w:hAnsi="黑体" w:eastAsia="黑体" w:cs="黑体"/>
          <w:sz w:val="30"/>
          <w:szCs w:val="30"/>
        </w:rPr>
      </w:pPr>
      <w:bookmarkStart w:id="4" w:name="_Toc20765"/>
      <w:r>
        <w:rPr>
          <w:rFonts w:hint="eastAsia" w:ascii="黑体" w:hAnsi="黑体" w:eastAsia="黑体" w:cs="黑体"/>
          <w:sz w:val="30"/>
          <w:szCs w:val="30"/>
        </w:rPr>
        <w:t>四、职业面向</w:t>
      </w:r>
      <w:bookmarkEnd w:id="4"/>
    </w:p>
    <w:p>
      <w:pPr>
        <w:adjustRightInd w:val="0"/>
        <w:snapToGrid w:val="0"/>
        <w:spacing w:line="360" w:lineRule="auto"/>
        <w:ind w:firstLine="560" w:firstLineChars="200"/>
        <w:rPr>
          <w:rFonts w:hint="eastAsia" w:ascii="仿宋" w:hAnsi="仿宋" w:eastAsia="仿宋" w:cs="仿宋"/>
          <w:bCs/>
          <w:sz w:val="28"/>
          <w:szCs w:val="28"/>
        </w:rPr>
      </w:pPr>
      <w:r>
        <w:rPr>
          <w:rFonts w:hint="eastAsia" w:ascii="仿宋" w:hAnsi="仿宋" w:eastAsia="仿宋" w:cs="仿宋"/>
          <w:bCs/>
          <w:sz w:val="28"/>
          <w:szCs w:val="28"/>
        </w:rPr>
        <w:t>以表格的形式呈现，包括本专业所对应的行业、主要职业类别、主要岗位类别（或技术领域）。</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4"/>
        <w:gridCol w:w="949"/>
        <w:gridCol w:w="1424"/>
        <w:gridCol w:w="1686"/>
        <w:gridCol w:w="1710"/>
        <w:gridCol w:w="16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1064"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业大类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949"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所属专</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业类</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424"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对应行业</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481"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主要职业类别</w:t>
            </w:r>
          </w:p>
          <w:p>
            <w:pPr>
              <w:jc w:val="center"/>
              <w:rPr>
                <w:rFonts w:hint="eastAsia" w:ascii="仿宋_GB2312" w:hAnsi="仿宋_GB2312" w:eastAsia="仿宋_GB2312" w:cs="仿宋_GB2312"/>
                <w:b/>
                <w:bCs/>
              </w:rPr>
            </w:pPr>
            <w:r>
              <w:rPr>
                <w:rFonts w:hint="eastAsia" w:ascii="仿宋_GB2312" w:hAnsi="仿宋_GB2312" w:eastAsia="仿宋_GB2312" w:cs="仿宋_GB2312"/>
                <w:b/>
                <w:bCs/>
              </w:rPr>
              <w:t>(代码)</w:t>
            </w:r>
          </w:p>
        </w:tc>
        <w:tc>
          <w:tcPr>
            <w:tcW w:w="1710"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主要岗位群或技术领域举例</w:t>
            </w:r>
          </w:p>
        </w:tc>
        <w:tc>
          <w:tcPr>
            <w:tcW w:w="1662" w:type="dxa"/>
            <w:vAlign w:val="center"/>
          </w:tcPr>
          <w:p>
            <w:pPr>
              <w:jc w:val="center"/>
              <w:rPr>
                <w:rFonts w:hint="eastAsia" w:ascii="仿宋_GB2312" w:hAnsi="仿宋_GB2312" w:eastAsia="仿宋_GB2312" w:cs="仿宋_GB2312"/>
                <w:b/>
                <w:bCs/>
              </w:rPr>
            </w:pPr>
            <w:r>
              <w:rPr>
                <w:rFonts w:hint="eastAsia" w:ascii="仿宋_GB2312" w:hAnsi="仿宋_GB2312" w:eastAsia="仿宋_GB2312" w:cs="仿宋_GB2312"/>
                <w:b/>
                <w:bCs/>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4" w:type="dxa"/>
          </w:tcPr>
          <w:p>
            <w:pPr>
              <w:pStyle w:val="2"/>
              <w:rPr>
                <w:rFonts w:hint="eastAsia" w:ascii="仿宋" w:hAnsi="仿宋" w:eastAsia="仿宋"/>
                <w:b w:val="0"/>
                <w:bCs/>
                <w:szCs w:val="21"/>
              </w:rPr>
            </w:pPr>
            <w:r>
              <w:rPr>
                <w:rFonts w:ascii="仿宋" w:hAnsi="仿宋" w:eastAsia="仿宋" w:cs="仿宋"/>
                <w:b w:val="0"/>
                <w:bCs/>
                <w:szCs w:val="21"/>
              </w:rPr>
              <w:t>财经商贸大类（53）</w:t>
            </w:r>
          </w:p>
        </w:tc>
        <w:tc>
          <w:tcPr>
            <w:tcW w:w="949" w:type="dxa"/>
          </w:tcPr>
          <w:p>
            <w:pPr>
              <w:pStyle w:val="2"/>
              <w:rPr>
                <w:rFonts w:hint="eastAsia" w:ascii="仿宋" w:hAnsi="仿宋" w:eastAsia="仿宋"/>
                <w:b w:val="0"/>
                <w:bCs/>
                <w:szCs w:val="21"/>
              </w:rPr>
            </w:pPr>
            <w:r>
              <w:rPr>
                <w:rFonts w:hint="eastAsia" w:ascii="仿宋" w:hAnsi="仿宋" w:eastAsia="仿宋" w:cs="仿宋"/>
                <w:b w:val="0"/>
                <w:bCs/>
                <w:szCs w:val="21"/>
              </w:rPr>
              <w:t>物流类（代码5308）</w:t>
            </w:r>
          </w:p>
        </w:tc>
        <w:tc>
          <w:tcPr>
            <w:tcW w:w="1424" w:type="dxa"/>
          </w:tcPr>
          <w:p>
            <w:pPr>
              <w:pStyle w:val="2"/>
              <w:rPr>
                <w:rFonts w:hint="eastAsia" w:ascii="仿宋" w:hAnsi="仿宋" w:eastAsia="仿宋"/>
                <w:b w:val="0"/>
                <w:bCs/>
                <w:szCs w:val="21"/>
              </w:rPr>
            </w:pPr>
            <w:r>
              <w:rPr>
                <w:rFonts w:ascii="仿宋" w:hAnsi="仿宋" w:eastAsia="仿宋" w:cs="仿宋"/>
                <w:b w:val="0"/>
                <w:bCs/>
                <w:szCs w:val="21"/>
              </w:rPr>
              <w:t>交通运输、仓储和邮政业(</w:t>
            </w:r>
            <w:r>
              <w:rPr>
                <w:rFonts w:hint="eastAsia" w:ascii="仿宋" w:hAnsi="仿宋" w:eastAsia="仿宋" w:cs="仿宋"/>
                <w:b w:val="0"/>
                <w:bCs/>
                <w:szCs w:val="21"/>
              </w:rPr>
              <w:t>53</w:t>
            </w:r>
            <w:r>
              <w:rPr>
                <w:rFonts w:ascii="仿宋" w:hAnsi="仿宋" w:eastAsia="仿宋" w:cs="仿宋"/>
                <w:b w:val="0"/>
                <w:bCs/>
                <w:szCs w:val="21"/>
              </w:rPr>
              <w:t>)</w:t>
            </w:r>
          </w:p>
        </w:tc>
        <w:tc>
          <w:tcPr>
            <w:tcW w:w="1481" w:type="dxa"/>
          </w:tcPr>
          <w:p>
            <w:pPr>
              <w:pStyle w:val="6"/>
              <w:adjustRightInd w:val="0"/>
              <w:snapToGrid w:val="0"/>
              <w:ind w:firstLine="0"/>
              <w:rPr>
                <w:rFonts w:hint="eastAsia" w:ascii="仿宋" w:hAnsi="仿宋" w:eastAsia="仿宋" w:cs="仿宋"/>
                <w:bCs/>
                <w:sz w:val="21"/>
                <w:szCs w:val="21"/>
              </w:rPr>
            </w:pPr>
            <w:r>
              <w:rPr>
                <w:rFonts w:hint="eastAsia" w:ascii="仿宋" w:hAnsi="仿宋" w:eastAsia="仿宋" w:cs="仿宋"/>
                <w:bCs/>
                <w:sz w:val="21"/>
                <w:szCs w:val="21"/>
              </w:rPr>
              <w:t>物流服务师（4-02-06-03）</w:t>
            </w:r>
          </w:p>
          <w:p>
            <w:pPr>
              <w:pStyle w:val="2"/>
              <w:rPr>
                <w:rFonts w:hint="eastAsia" w:ascii="仿宋" w:hAnsi="仿宋" w:eastAsia="仿宋"/>
                <w:b w:val="0"/>
                <w:bCs/>
                <w:szCs w:val="21"/>
              </w:rPr>
            </w:pPr>
            <w:r>
              <w:rPr>
                <w:rFonts w:hint="eastAsia" w:ascii="仿宋" w:hAnsi="仿宋" w:eastAsia="仿宋" w:cs="仿宋"/>
                <w:b w:val="0"/>
                <w:bCs/>
                <w:szCs w:val="21"/>
              </w:rPr>
              <w:t>供应链管理师（4-02-06-05）</w:t>
            </w:r>
          </w:p>
        </w:tc>
        <w:tc>
          <w:tcPr>
            <w:tcW w:w="1710" w:type="dxa"/>
          </w:tcPr>
          <w:p>
            <w:pPr>
              <w:pStyle w:val="2"/>
              <w:rPr>
                <w:rFonts w:hint="eastAsia" w:ascii="仿宋" w:hAnsi="仿宋" w:eastAsia="仿宋"/>
                <w:b w:val="0"/>
                <w:bCs/>
                <w:szCs w:val="21"/>
              </w:rPr>
            </w:pPr>
            <w:r>
              <w:rPr>
                <w:rFonts w:hint="eastAsia" w:ascii="仿宋" w:hAnsi="仿宋" w:eastAsia="仿宋" w:cs="仿宋"/>
                <w:b w:val="0"/>
                <w:bCs/>
                <w:szCs w:val="21"/>
              </w:rPr>
              <w:t>物流规划师、物流服务师、采购工程师、包装工程师</w:t>
            </w:r>
          </w:p>
        </w:tc>
        <w:tc>
          <w:tcPr>
            <w:tcW w:w="1662" w:type="dxa"/>
          </w:tcPr>
          <w:p>
            <w:pPr>
              <w:pStyle w:val="2"/>
              <w:rPr>
                <w:rFonts w:hint="eastAsia" w:ascii="仿宋" w:hAnsi="仿宋" w:eastAsia="仿宋"/>
                <w:b w:val="0"/>
                <w:bCs/>
                <w:szCs w:val="21"/>
              </w:rPr>
            </w:pPr>
            <w:r>
              <w:rPr>
                <w:rFonts w:hint="eastAsia" w:ascii="仿宋" w:hAnsi="仿宋" w:eastAsia="仿宋" w:cs="仿宋"/>
                <w:b w:val="0"/>
                <w:bCs/>
                <w:szCs w:val="21"/>
              </w:rPr>
              <w:t>物流服务师、供应链管理师</w:t>
            </w:r>
          </w:p>
        </w:tc>
      </w:tr>
    </w:tbl>
    <w:p>
      <w:pPr>
        <w:pStyle w:val="2"/>
      </w:pPr>
    </w:p>
    <w:p>
      <w:pPr>
        <w:pStyle w:val="3"/>
        <w:spacing w:before="40" w:after="40" w:line="360" w:lineRule="auto"/>
        <w:ind w:firstLine="602" w:firstLineChars="200"/>
        <w:rPr>
          <w:rFonts w:hint="eastAsia" w:ascii="黑体" w:hAnsi="黑体" w:eastAsia="黑体" w:cs="黑体"/>
          <w:sz w:val="30"/>
          <w:szCs w:val="30"/>
        </w:rPr>
      </w:pPr>
      <w:bookmarkStart w:id="5" w:name="_Toc22636"/>
      <w:r>
        <w:rPr>
          <w:rFonts w:hint="eastAsia" w:ascii="黑体" w:hAnsi="黑体" w:eastAsia="黑体" w:cs="黑体"/>
          <w:sz w:val="30"/>
          <w:szCs w:val="30"/>
        </w:rPr>
        <w:t>五、培养目标与培养规格</w:t>
      </w:r>
      <w:bookmarkEnd w:id="5"/>
    </w:p>
    <w:p>
      <w:pPr>
        <w:pStyle w:val="2"/>
        <w:ind w:firstLine="562" w:firstLineChars="200"/>
        <w:rPr>
          <w:rFonts w:hint="eastAsia" w:ascii="仿宋_GB2312" w:hAnsi="仿宋_GB2312" w:eastAsia="仿宋_GB2312" w:cs="仿宋_GB2312"/>
          <w:sz w:val="28"/>
          <w:szCs w:val="36"/>
        </w:rPr>
      </w:pPr>
      <w:bookmarkStart w:id="6" w:name="_Toc27622"/>
      <w:r>
        <w:rPr>
          <w:rFonts w:hint="eastAsia" w:ascii="仿宋_GB2312" w:hAnsi="仿宋_GB2312" w:eastAsia="仿宋_GB2312" w:cs="仿宋_GB2312"/>
          <w:sz w:val="28"/>
          <w:szCs w:val="36"/>
        </w:rPr>
        <w:t>（一）培养目标</w:t>
      </w:r>
      <w:bookmarkEnd w:id="6"/>
    </w:p>
    <w:p>
      <w:pPr>
        <w:ind w:firstLine="560" w:firstLineChars="200"/>
      </w:pPr>
      <w:r>
        <w:rPr>
          <w:rFonts w:hint="eastAsia" w:ascii="仿宋" w:hAnsi="仿宋" w:eastAsia="仿宋" w:cs="仿宋"/>
          <w:sz w:val="28"/>
          <w:szCs w:val="28"/>
        </w:rPr>
        <w:t>培养德智体美劳全面发展，具有崇高的理想信念、良好职业道德、国际视野和精益求精的工匠精神，掌握物流管理、供应链管理等较为系统的基础理论知识，熟练掌握物流规划设计、物流运营仿真与决策支持、智能物流设施设备应用等技术技能，具备解决物流业务运营过程中复杂问题的能力，能提供物流运营管理、供应链实施、物流系统分析与设计、智能物流设施设备应用和出口物流等高端服务，具有项目方案设计与实现能力，能从事科技成果和实验成果转化，具备较强的创新创业能力和国际化素养的“德技兼备，情理双修”的高端技能人才。</w:t>
      </w:r>
    </w:p>
    <w:p>
      <w:pPr>
        <w:pStyle w:val="2"/>
        <w:ind w:firstLine="562" w:firstLineChars="200"/>
        <w:rPr>
          <w:rFonts w:hint="eastAsia" w:ascii="仿宋_GB2312" w:hAnsi="仿宋_GB2312" w:eastAsia="仿宋_GB2312" w:cs="仿宋_GB2312"/>
          <w:sz w:val="28"/>
          <w:szCs w:val="36"/>
        </w:rPr>
      </w:pPr>
      <w:bookmarkStart w:id="7" w:name="_Toc31159"/>
      <w:r>
        <w:rPr>
          <w:rFonts w:hint="eastAsia" w:ascii="仿宋_GB2312" w:hAnsi="仿宋_GB2312" w:eastAsia="仿宋_GB2312" w:cs="仿宋_GB2312"/>
          <w:sz w:val="28"/>
          <w:szCs w:val="36"/>
        </w:rPr>
        <w:t>（二）培养规格</w:t>
      </w:r>
      <w:bookmarkEnd w:id="7"/>
    </w:p>
    <w:p>
      <w:pPr>
        <w:adjustRightInd w:val="0"/>
        <w:snapToGrid w:val="0"/>
        <w:spacing w:line="360" w:lineRule="auto"/>
        <w:ind w:firstLine="560" w:firstLineChars="200"/>
        <w:rPr>
          <w:rFonts w:eastAsia="仿宋"/>
        </w:rPr>
      </w:pPr>
      <w:r>
        <w:rPr>
          <w:rFonts w:hint="eastAsia" w:ascii="仿宋" w:hAnsi="仿宋" w:eastAsia="仿宋" w:cs="仿宋"/>
          <w:sz w:val="28"/>
          <w:szCs w:val="28"/>
        </w:rPr>
        <w:t>培养规格支撑培养目标的实现，是学生在毕业时必须达成的能力要求。</w:t>
      </w:r>
    </w:p>
    <w:tbl>
      <w:tblPr>
        <w:tblStyle w:val="14"/>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75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8" w:type="dxa"/>
            <w:vAlign w:val="center"/>
          </w:tcPr>
          <w:p>
            <w:pPr>
              <w:pStyle w:val="45"/>
              <w:rPr>
                <w:rFonts w:ascii="仿宋" w:hAnsi="仿宋" w:eastAsia="仿宋" w:cs="宋体"/>
                <w:bCs/>
                <w:sz w:val="24"/>
              </w:rPr>
            </w:pPr>
            <w:bookmarkStart w:id="8" w:name="_Hlk65279546"/>
            <w:bookmarkStart w:id="9" w:name="_Hlk131108422"/>
            <w:r>
              <w:rPr>
                <w:rFonts w:ascii="仿宋" w:hAnsi="仿宋" w:eastAsia="仿宋"/>
              </w:rPr>
              <w:t>类别</w:t>
            </w:r>
          </w:p>
        </w:tc>
        <w:tc>
          <w:tcPr>
            <w:tcW w:w="7512" w:type="dxa"/>
          </w:tcPr>
          <w:p>
            <w:pPr>
              <w:pStyle w:val="45"/>
              <w:rPr>
                <w:rFonts w:ascii="仿宋" w:hAnsi="仿宋" w:eastAsia="仿宋"/>
              </w:rPr>
            </w:pPr>
            <w:r>
              <w:rPr>
                <w:rFonts w:ascii="仿宋" w:hAnsi="仿宋" w:eastAsia="仿宋"/>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8" w:type="dxa"/>
            <w:vMerge w:val="restart"/>
            <w:vAlign w:val="center"/>
          </w:tcPr>
          <w:p>
            <w:pPr>
              <w:spacing w:line="400" w:lineRule="exact"/>
              <w:jc w:val="left"/>
              <w:rPr>
                <w:rFonts w:hint="eastAsia" w:ascii="仿宋" w:hAnsi="仿宋" w:eastAsia="仿宋" w:cs="宋体"/>
                <w:bCs/>
                <w:sz w:val="24"/>
              </w:rPr>
            </w:pPr>
            <w:r>
              <w:rPr>
                <w:rFonts w:ascii="仿宋" w:hAnsi="仿宋" w:eastAsia="仿宋" w:cs="宋体"/>
                <w:bCs/>
                <w:sz w:val="24"/>
              </w:rPr>
              <w:t>1</w:t>
            </w:r>
            <w:r>
              <w:rPr>
                <w:rFonts w:hint="eastAsia" w:ascii="仿宋" w:hAnsi="仿宋" w:eastAsia="仿宋" w:cs="宋体"/>
                <w:bCs/>
                <w:sz w:val="24"/>
              </w:rPr>
              <w:t>.素质</w:t>
            </w:r>
          </w:p>
        </w:tc>
        <w:tc>
          <w:tcPr>
            <w:tcW w:w="7512" w:type="dxa"/>
          </w:tcPr>
          <w:p>
            <w:pPr>
              <w:pStyle w:val="37"/>
              <w:jc w:val="left"/>
              <w:rPr>
                <w:rFonts w:hint="eastAsia" w:ascii="仿宋" w:hAnsi="仿宋" w:eastAsia="仿宋"/>
              </w:rPr>
            </w:pPr>
            <w:r>
              <w:rPr>
                <w:rFonts w:ascii="仿宋" w:hAnsi="仿宋" w:eastAsia="仿宋"/>
              </w:rPr>
              <w:t>1.1 具有正确的政治思想和道德是非辨别能力，有理想信念、家国情怀和和职业道德</w:t>
            </w:r>
            <w:r>
              <w:rPr>
                <w:rFonts w:hint="eastAsia" w:ascii="仿宋" w:hAnsi="仿宋" w:eastAsia="仿宋"/>
              </w:rPr>
              <w:t>；</w:t>
            </w:r>
          </w:p>
          <w:p>
            <w:pPr>
              <w:pStyle w:val="37"/>
              <w:jc w:val="left"/>
              <w:rPr>
                <w:rFonts w:hint="eastAsia" w:ascii="仿宋" w:hAnsi="仿宋" w:eastAsia="仿宋"/>
              </w:rPr>
            </w:pPr>
            <w:r>
              <w:rPr>
                <w:rFonts w:ascii="仿宋" w:hAnsi="仿宋" w:eastAsia="仿宋"/>
              </w:rPr>
              <w:t>1</w:t>
            </w:r>
            <w:r>
              <w:rPr>
                <w:rFonts w:hint="eastAsia" w:ascii="仿宋" w:hAnsi="仿宋" w:eastAsia="仿宋"/>
              </w:rPr>
              <w:t>.</w:t>
            </w:r>
            <w:r>
              <w:rPr>
                <w:rFonts w:ascii="仿宋" w:hAnsi="仿宋" w:eastAsia="仿宋"/>
              </w:rPr>
              <w:t xml:space="preserve">2 </w:t>
            </w:r>
            <w:r>
              <w:rPr>
                <w:rFonts w:hint="eastAsia" w:ascii="仿宋" w:hAnsi="仿宋" w:eastAsia="仿宋"/>
              </w:rPr>
              <w:t>具有良好的团队意识，能协调合作有效完成工作任务，具有较强的语言表达能力，良好的与人交流、跨文化交际能力能；</w:t>
            </w:r>
          </w:p>
          <w:p>
            <w:pPr>
              <w:pStyle w:val="37"/>
              <w:jc w:val="left"/>
              <w:rPr>
                <w:rFonts w:hint="eastAsia" w:ascii="仿宋" w:hAnsi="仿宋" w:eastAsia="仿宋"/>
              </w:rPr>
            </w:pPr>
            <w:r>
              <w:rPr>
                <w:rFonts w:ascii="仿宋" w:hAnsi="仿宋" w:eastAsia="仿宋"/>
              </w:rPr>
              <w:t xml:space="preserve">1.3 </w:t>
            </w:r>
            <w:r>
              <w:rPr>
                <w:rFonts w:hint="eastAsia" w:ascii="仿宋" w:hAnsi="仿宋" w:eastAsia="仿宋"/>
              </w:rPr>
              <w:t>具有学习新知识、新技术的方法能力，能把所学工业物流知识和技能向其它领域迁移；</w:t>
            </w:r>
          </w:p>
          <w:p>
            <w:pPr>
              <w:pStyle w:val="37"/>
              <w:jc w:val="left"/>
              <w:rPr>
                <w:rFonts w:hint="eastAsia" w:ascii="仿宋" w:hAnsi="仿宋" w:eastAsia="仿宋"/>
              </w:rPr>
            </w:pPr>
            <w:r>
              <w:rPr>
                <w:rFonts w:ascii="仿宋" w:hAnsi="仿宋" w:eastAsia="仿宋"/>
              </w:rPr>
              <w:t>1.4 具有吃苦耐劳、严谨细致、认真负责的工作态度，良好的安全意识和质量意识，精益求精、追求卓越的工匠精神</w:t>
            </w:r>
            <w:r>
              <w:rPr>
                <w:rFonts w:hint="eastAsia" w:ascii="仿宋" w:hAnsi="仿宋" w:eastAsia="仿宋"/>
              </w:rPr>
              <w:t>；</w:t>
            </w:r>
          </w:p>
          <w:p>
            <w:pPr>
              <w:pStyle w:val="37"/>
              <w:jc w:val="left"/>
              <w:rPr>
                <w:rFonts w:hint="eastAsia" w:ascii="仿宋" w:hAnsi="仿宋" w:eastAsia="仿宋"/>
              </w:rPr>
            </w:pPr>
            <w:r>
              <w:rPr>
                <w:rFonts w:ascii="仿宋" w:hAnsi="仿宋" w:eastAsia="仿宋"/>
              </w:rPr>
              <w:t>1</w:t>
            </w:r>
            <w:r>
              <w:rPr>
                <w:rFonts w:hint="eastAsia" w:ascii="仿宋" w:hAnsi="仿宋" w:eastAsia="仿宋"/>
              </w:rPr>
              <w:t>.</w:t>
            </w:r>
            <w:r>
              <w:rPr>
                <w:rFonts w:ascii="仿宋" w:hAnsi="仿宋" w:eastAsia="仿宋"/>
              </w:rPr>
              <w:t>5</w:t>
            </w:r>
            <w:r>
              <w:rPr>
                <w:rFonts w:hint="eastAsia" w:ascii="仿宋" w:hAnsi="仿宋" w:eastAsia="仿宋"/>
              </w:rPr>
              <w:t>能进行自我调节，较快地适应物流及其相关行业的工作环境，且具有自我学习、自我发展，适应职业生涯发展变化的能力。</w:t>
            </w:r>
          </w:p>
        </w:tc>
      </w:tr>
      <w:bookmarkEnd w:id="8"/>
      <w:bookmarkEnd w:id="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6" w:hRule="atLeast"/>
          <w:jc w:val="center"/>
        </w:trPr>
        <w:tc>
          <w:tcPr>
            <w:tcW w:w="988" w:type="dxa"/>
            <w:vMerge w:val="restart"/>
            <w:vAlign w:val="center"/>
          </w:tcPr>
          <w:p>
            <w:pPr>
              <w:spacing w:line="400" w:lineRule="exact"/>
              <w:jc w:val="left"/>
              <w:rPr>
                <w:rFonts w:hint="eastAsia" w:ascii="仿宋" w:hAnsi="仿宋" w:eastAsia="仿宋" w:cs="宋体"/>
                <w:bCs/>
                <w:sz w:val="24"/>
              </w:rPr>
            </w:pPr>
            <w:bookmarkStart w:id="10" w:name="_Hlk65276128"/>
            <w:r>
              <w:rPr>
                <w:rFonts w:ascii="仿宋" w:hAnsi="仿宋" w:eastAsia="仿宋" w:cs="宋体"/>
                <w:bCs/>
                <w:sz w:val="24"/>
              </w:rPr>
              <w:t>2.</w:t>
            </w:r>
            <w:r>
              <w:rPr>
                <w:rFonts w:hint="eastAsia" w:ascii="仿宋" w:hAnsi="仿宋" w:eastAsia="仿宋" w:cs="宋体"/>
                <w:bCs/>
                <w:sz w:val="24"/>
              </w:rPr>
              <w:t>知识</w:t>
            </w:r>
          </w:p>
        </w:tc>
        <w:tc>
          <w:tcPr>
            <w:tcW w:w="7512" w:type="dxa"/>
          </w:tcPr>
          <w:p>
            <w:pPr>
              <w:pStyle w:val="37"/>
              <w:jc w:val="left"/>
              <w:rPr>
                <w:rFonts w:hint="eastAsia" w:ascii="仿宋" w:hAnsi="仿宋" w:eastAsia="仿宋"/>
              </w:rPr>
            </w:pPr>
            <w:r>
              <w:rPr>
                <w:rFonts w:ascii="仿宋" w:hAnsi="仿宋" w:eastAsia="仿宋"/>
              </w:rPr>
              <w:t xml:space="preserve">2.1 </w:t>
            </w:r>
            <w:r>
              <w:rPr>
                <w:rFonts w:hint="eastAsia" w:ascii="仿宋" w:hAnsi="仿宋" w:eastAsia="仿宋"/>
              </w:rPr>
              <w:t>掌握经济学、管理学的基础知识，熟悉经济管理领域的一般管理理论与方法，了解物流领域研究前沿与热点；</w:t>
            </w:r>
          </w:p>
          <w:p>
            <w:pPr>
              <w:pStyle w:val="37"/>
              <w:jc w:val="left"/>
              <w:rPr>
                <w:rFonts w:hint="eastAsia" w:ascii="仿宋" w:hAnsi="仿宋" w:eastAsia="仿宋"/>
              </w:rPr>
            </w:pPr>
            <w:r>
              <w:rPr>
                <w:rFonts w:ascii="仿宋" w:hAnsi="仿宋" w:eastAsia="仿宋"/>
              </w:rPr>
              <w:t xml:space="preserve">2.2 </w:t>
            </w:r>
            <w:r>
              <w:rPr>
                <w:rFonts w:hint="eastAsia" w:ascii="仿宋" w:hAnsi="仿宋" w:eastAsia="仿宋"/>
              </w:rPr>
              <w:t>熟悉大数据、物联网、区块链等新技术、新工具的理论知识与应用原理，掌握其在物流领域的应用流程与方法；</w:t>
            </w:r>
          </w:p>
          <w:p>
            <w:pPr>
              <w:pStyle w:val="37"/>
              <w:jc w:val="left"/>
              <w:rPr>
                <w:rFonts w:hint="eastAsia" w:ascii="仿宋" w:hAnsi="仿宋" w:eastAsia="仿宋"/>
              </w:rPr>
            </w:pPr>
            <w:r>
              <w:rPr>
                <w:rFonts w:ascii="仿宋" w:hAnsi="仿宋" w:eastAsia="仿宋"/>
              </w:rPr>
              <w:t xml:space="preserve">2.3 </w:t>
            </w:r>
            <w:r>
              <w:rPr>
                <w:rFonts w:hint="eastAsia" w:ascii="仿宋" w:hAnsi="仿宋" w:eastAsia="仿宋"/>
              </w:rPr>
              <w:t>熟悉现代物流的基本功能，掌握仓储、运输、配送、包装、物流信息管理等物流功能的系统理论知识、基本管理技术与方法；</w:t>
            </w:r>
          </w:p>
          <w:p>
            <w:pPr>
              <w:pStyle w:val="37"/>
              <w:jc w:val="left"/>
              <w:rPr>
                <w:rFonts w:hint="eastAsia" w:ascii="仿宋" w:hAnsi="仿宋" w:eastAsia="仿宋"/>
              </w:rPr>
            </w:pPr>
            <w:r>
              <w:rPr>
                <w:rFonts w:ascii="仿宋" w:hAnsi="仿宋" w:eastAsia="仿宋"/>
              </w:rPr>
              <w:t xml:space="preserve">2.4 </w:t>
            </w:r>
            <w:r>
              <w:rPr>
                <w:rFonts w:hint="eastAsia" w:ascii="仿宋" w:hAnsi="仿宋" w:eastAsia="仿宋"/>
              </w:rPr>
              <w:t>熟悉物流系统规划设计、物流系统模型仿真的专业知识，掌握生产物流系统规划设计的原理、原则和技术方法；</w:t>
            </w:r>
          </w:p>
          <w:p>
            <w:pPr>
              <w:pStyle w:val="37"/>
              <w:jc w:val="left"/>
              <w:rPr>
                <w:rFonts w:hint="eastAsia" w:ascii="仿宋" w:hAnsi="仿宋" w:eastAsia="仿宋"/>
              </w:rPr>
            </w:pPr>
            <w:r>
              <w:rPr>
                <w:rFonts w:ascii="仿宋" w:hAnsi="仿宋" w:eastAsia="仿宋"/>
              </w:rPr>
              <w:t xml:space="preserve">2.5 </w:t>
            </w:r>
            <w:r>
              <w:rPr>
                <w:rFonts w:hint="eastAsia" w:ascii="仿宋" w:hAnsi="仿宋" w:eastAsia="仿宋"/>
              </w:rPr>
              <w:t>熟悉物流成本的构成及物流成本管理的系统理论知识，掌握企业物流成本归集、核算与分析的方法原理、方法和步骤；</w:t>
            </w:r>
          </w:p>
          <w:p>
            <w:pPr>
              <w:pStyle w:val="37"/>
              <w:jc w:val="left"/>
              <w:rPr>
                <w:rFonts w:hint="eastAsia" w:ascii="仿宋" w:hAnsi="仿宋" w:eastAsia="仿宋"/>
              </w:rPr>
            </w:pPr>
            <w:r>
              <w:rPr>
                <w:rFonts w:ascii="仿宋" w:hAnsi="仿宋" w:eastAsia="仿宋"/>
              </w:rPr>
              <w:t xml:space="preserve">2.6 </w:t>
            </w:r>
            <w:r>
              <w:rPr>
                <w:rFonts w:hint="eastAsia" w:ascii="仿宋" w:hAnsi="仿宋" w:eastAsia="仿宋"/>
              </w:rPr>
              <w:t>掌握供应链管理系统理论知识，能够理解其活动规律、管理原理、思想、要求、技术路径与方法；</w:t>
            </w:r>
          </w:p>
          <w:p>
            <w:pPr>
              <w:pStyle w:val="37"/>
              <w:jc w:val="left"/>
              <w:rPr>
                <w:rFonts w:hint="eastAsia" w:ascii="仿宋" w:hAnsi="仿宋" w:eastAsia="仿宋"/>
              </w:rPr>
            </w:pPr>
            <w:r>
              <w:rPr>
                <w:rFonts w:hint="eastAsia" w:ascii="仿宋" w:hAnsi="仿宋" w:eastAsia="仿宋"/>
              </w:rPr>
              <w:t>2.7熟悉货物出口所需的报关、报检、货运代理等相关知识；</w:t>
            </w:r>
          </w:p>
          <w:p>
            <w:pPr>
              <w:pStyle w:val="37"/>
              <w:jc w:val="left"/>
              <w:rPr>
                <w:rFonts w:hint="eastAsia" w:ascii="仿宋" w:hAnsi="仿宋" w:eastAsia="仿宋"/>
              </w:rPr>
            </w:pPr>
            <w:r>
              <w:rPr>
                <w:rFonts w:hint="eastAsia" w:ascii="仿宋" w:hAnsi="仿宋" w:eastAsia="仿宋"/>
              </w:rPr>
              <w:t>2.8掌握低空物流运营所需的无人机技术原理、物流网络架构、低空空域管理法规等相关知识。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4" w:hRule="atLeast"/>
          <w:jc w:val="center"/>
        </w:trPr>
        <w:tc>
          <w:tcPr>
            <w:tcW w:w="988" w:type="dxa"/>
            <w:vAlign w:val="center"/>
          </w:tcPr>
          <w:p>
            <w:pPr>
              <w:spacing w:line="400" w:lineRule="exact"/>
              <w:jc w:val="left"/>
              <w:rPr>
                <w:rFonts w:hint="eastAsia" w:ascii="仿宋" w:hAnsi="仿宋" w:eastAsia="仿宋" w:cs="宋体"/>
                <w:bCs/>
                <w:sz w:val="24"/>
              </w:rPr>
            </w:pPr>
            <w:r>
              <w:rPr>
                <w:rFonts w:ascii="仿宋" w:hAnsi="仿宋" w:eastAsia="仿宋" w:cs="宋体"/>
                <w:bCs/>
                <w:sz w:val="24"/>
              </w:rPr>
              <w:t>3.</w:t>
            </w:r>
            <w:r>
              <w:rPr>
                <w:rFonts w:hint="eastAsia" w:ascii="仿宋" w:hAnsi="仿宋" w:eastAsia="仿宋" w:cs="宋体"/>
                <w:bCs/>
                <w:sz w:val="24"/>
              </w:rPr>
              <w:t>能力</w:t>
            </w:r>
          </w:p>
        </w:tc>
        <w:tc>
          <w:tcPr>
            <w:tcW w:w="7512" w:type="dxa"/>
          </w:tcPr>
          <w:p>
            <w:pPr>
              <w:pStyle w:val="37"/>
              <w:jc w:val="left"/>
              <w:rPr>
                <w:rFonts w:hint="eastAsia" w:ascii="仿宋" w:hAnsi="仿宋" w:eastAsia="仿宋"/>
              </w:rPr>
            </w:pPr>
            <w:r>
              <w:rPr>
                <w:rFonts w:ascii="仿宋" w:hAnsi="仿宋" w:eastAsia="仿宋"/>
              </w:rPr>
              <w:t>3.</w:t>
            </w:r>
            <w:r>
              <w:rPr>
                <w:rFonts w:hint="eastAsia" w:ascii="仿宋" w:hAnsi="仿宋" w:eastAsia="仿宋"/>
              </w:rPr>
              <w:t>1</w:t>
            </w:r>
            <w:r>
              <w:rPr>
                <w:rFonts w:ascii="仿宋" w:hAnsi="仿宋" w:eastAsia="仿宋"/>
              </w:rPr>
              <w:t xml:space="preserve"> </w:t>
            </w:r>
            <w:r>
              <w:rPr>
                <w:rFonts w:hint="eastAsia" w:ascii="仿宋" w:hAnsi="仿宋" w:eastAsia="仿宋"/>
              </w:rPr>
              <w:t>能熟练使用自动化立体仓库、AGV小车、无人机、自动分拣系统等智能物流设施设备，并能对其进行日常维护管理；</w:t>
            </w:r>
          </w:p>
          <w:p>
            <w:pPr>
              <w:pStyle w:val="37"/>
              <w:jc w:val="left"/>
              <w:rPr>
                <w:rFonts w:hint="eastAsia" w:ascii="仿宋" w:hAnsi="仿宋" w:eastAsia="仿宋"/>
              </w:rPr>
            </w:pPr>
            <w:r>
              <w:rPr>
                <w:rFonts w:ascii="仿宋" w:hAnsi="仿宋" w:eastAsia="仿宋"/>
              </w:rPr>
              <w:t>3</w:t>
            </w:r>
            <w:r>
              <w:rPr>
                <w:rFonts w:hint="eastAsia" w:ascii="仿宋" w:hAnsi="仿宋" w:eastAsia="仿宋"/>
              </w:rPr>
              <w:t>.</w:t>
            </w:r>
            <w:r>
              <w:rPr>
                <w:rFonts w:ascii="仿宋" w:hAnsi="仿宋" w:eastAsia="仿宋"/>
              </w:rPr>
              <w:t xml:space="preserve">2 </w:t>
            </w:r>
            <w:r>
              <w:rPr>
                <w:rFonts w:hint="eastAsia" w:ascii="仿宋" w:hAnsi="仿宋" w:eastAsia="仿宋"/>
              </w:rPr>
              <w:t>能熟练运用T</w:t>
            </w:r>
            <w:r>
              <w:rPr>
                <w:rFonts w:ascii="仿宋" w:hAnsi="仿宋" w:eastAsia="仿宋"/>
              </w:rPr>
              <w:t>MS</w:t>
            </w:r>
            <w:r>
              <w:rPr>
                <w:rFonts w:hint="eastAsia" w:ascii="仿宋" w:hAnsi="仿宋" w:eastAsia="仿宋"/>
              </w:rPr>
              <w:t>、</w:t>
            </w:r>
            <w:r>
              <w:rPr>
                <w:rFonts w:ascii="仿宋" w:hAnsi="仿宋" w:eastAsia="仿宋"/>
              </w:rPr>
              <w:t>WMS</w:t>
            </w:r>
            <w:r>
              <w:rPr>
                <w:rFonts w:hint="eastAsia" w:ascii="仿宋" w:hAnsi="仿宋" w:eastAsia="仿宋"/>
              </w:rPr>
              <w:t>、</w:t>
            </w:r>
            <w:r>
              <w:rPr>
                <w:rFonts w:ascii="仿宋" w:hAnsi="仿宋" w:eastAsia="仿宋"/>
              </w:rPr>
              <w:t>DMS</w:t>
            </w:r>
            <w:r>
              <w:rPr>
                <w:rFonts w:hint="eastAsia" w:ascii="仿宋" w:hAnsi="仿宋" w:eastAsia="仿宋"/>
              </w:rPr>
              <w:t>等物流业务流程软件，结合精益生产等管理理念和方法，应用低代码开发应用工具，为物流行业专属的数字应用开发管理，搭建专属流程模块，开展物流业务运作与物流管理工作；</w:t>
            </w:r>
          </w:p>
          <w:p>
            <w:pPr>
              <w:pStyle w:val="37"/>
              <w:jc w:val="left"/>
              <w:rPr>
                <w:rFonts w:hint="eastAsia" w:ascii="仿宋" w:hAnsi="仿宋" w:eastAsia="仿宋"/>
              </w:rPr>
            </w:pPr>
            <w:r>
              <w:rPr>
                <w:rFonts w:ascii="仿宋" w:hAnsi="仿宋" w:eastAsia="仿宋"/>
              </w:rPr>
              <w:t>3.</w:t>
            </w:r>
            <w:r>
              <w:rPr>
                <w:rFonts w:hint="eastAsia" w:ascii="仿宋" w:hAnsi="仿宋" w:eastAsia="仿宋"/>
              </w:rPr>
              <w:t>3</w:t>
            </w:r>
            <w:r>
              <w:rPr>
                <w:rFonts w:ascii="仿宋" w:hAnsi="仿宋" w:eastAsia="仿宋"/>
              </w:rPr>
              <w:t xml:space="preserve"> </w:t>
            </w:r>
            <w:r>
              <w:rPr>
                <w:rFonts w:hint="eastAsia" w:ascii="仿宋" w:hAnsi="仿宋" w:eastAsia="仿宋"/>
              </w:rPr>
              <w:t>能够独立进行物流系统分析，精准定位问题，选择与使用恰当合理的规划工具，进行生产物流、仓储及运输等物流系统规划设计，提供可行的运作方案；</w:t>
            </w:r>
          </w:p>
          <w:p>
            <w:pPr>
              <w:pStyle w:val="37"/>
              <w:jc w:val="left"/>
              <w:rPr>
                <w:rFonts w:hint="eastAsia" w:ascii="仿宋" w:hAnsi="仿宋" w:eastAsia="仿宋"/>
              </w:rPr>
            </w:pPr>
            <w:r>
              <w:rPr>
                <w:rFonts w:ascii="仿宋" w:hAnsi="仿宋" w:eastAsia="仿宋"/>
              </w:rPr>
              <w:t>3.</w:t>
            </w:r>
            <w:r>
              <w:rPr>
                <w:rFonts w:hint="eastAsia" w:ascii="仿宋" w:hAnsi="仿宋" w:eastAsia="仿宋"/>
              </w:rPr>
              <w:t>4</w:t>
            </w:r>
            <w:r>
              <w:rPr>
                <w:rFonts w:ascii="仿宋" w:hAnsi="仿宋" w:eastAsia="仿宋"/>
              </w:rPr>
              <w:t xml:space="preserve"> </w:t>
            </w:r>
            <w:r>
              <w:rPr>
                <w:rFonts w:hint="eastAsia" w:ascii="仿宋" w:hAnsi="仿宋" w:eastAsia="仿宋"/>
              </w:rPr>
              <w:t>能运用统计分析软件等工具对生产物流、仓储及运输环节等进行数据分析、建模仿真及方案验证；</w:t>
            </w:r>
          </w:p>
          <w:p>
            <w:pPr>
              <w:pStyle w:val="37"/>
              <w:jc w:val="left"/>
              <w:rPr>
                <w:rFonts w:hint="eastAsia" w:ascii="仿宋" w:hAnsi="仿宋" w:eastAsia="仿宋"/>
              </w:rPr>
            </w:pPr>
            <w:r>
              <w:rPr>
                <w:rFonts w:ascii="仿宋" w:hAnsi="仿宋" w:eastAsia="仿宋"/>
              </w:rPr>
              <w:t>3.</w:t>
            </w:r>
            <w:r>
              <w:rPr>
                <w:rFonts w:hint="eastAsia" w:ascii="仿宋" w:hAnsi="仿宋" w:eastAsia="仿宋"/>
              </w:rPr>
              <w:t>5</w:t>
            </w:r>
            <w:r>
              <w:rPr>
                <w:rFonts w:ascii="仿宋" w:hAnsi="仿宋" w:eastAsia="仿宋"/>
              </w:rPr>
              <w:t xml:space="preserve"> </w:t>
            </w:r>
            <w:r>
              <w:rPr>
                <w:rFonts w:hint="eastAsia" w:ascii="仿宋" w:hAnsi="仿宋" w:eastAsia="仿宋"/>
              </w:rPr>
              <w:t>能利用相关工具抓取、清洗企业成本数据，对不同业务类型的物流成本进行归集分配，进行企业物流成本的影响因素分析及成本核算，提出物流成本优化策略；</w:t>
            </w:r>
          </w:p>
          <w:p>
            <w:pPr>
              <w:pStyle w:val="37"/>
              <w:jc w:val="left"/>
              <w:rPr>
                <w:rFonts w:hint="eastAsia" w:ascii="仿宋" w:hAnsi="仿宋" w:eastAsia="仿宋"/>
              </w:rPr>
            </w:pPr>
            <w:r>
              <w:rPr>
                <w:rFonts w:ascii="仿宋" w:hAnsi="仿宋" w:eastAsia="仿宋"/>
              </w:rPr>
              <w:t>3.</w:t>
            </w:r>
            <w:r>
              <w:rPr>
                <w:rFonts w:hint="eastAsia" w:ascii="仿宋" w:hAnsi="仿宋" w:eastAsia="仿宋"/>
              </w:rPr>
              <w:t>6</w:t>
            </w:r>
            <w:r>
              <w:rPr>
                <w:rFonts w:ascii="仿宋" w:hAnsi="仿宋" w:eastAsia="仿宋"/>
              </w:rPr>
              <w:t xml:space="preserve"> </w:t>
            </w:r>
            <w:r>
              <w:rPr>
                <w:rFonts w:hint="eastAsia" w:ascii="仿宋" w:hAnsi="仿宋" w:eastAsia="仿宋"/>
              </w:rPr>
              <w:t>能运用供应链管理的方法、工具，结合区块链技术，开展供应链质量管理，协调采购、生产、销售、物流服务的运营过程，提升供应链系统效率；</w:t>
            </w:r>
          </w:p>
          <w:p>
            <w:pPr>
              <w:pStyle w:val="37"/>
              <w:jc w:val="left"/>
              <w:rPr>
                <w:rFonts w:hint="eastAsia" w:ascii="仿宋" w:hAnsi="仿宋" w:eastAsia="仿宋"/>
              </w:rPr>
            </w:pPr>
            <w:r>
              <w:rPr>
                <w:rFonts w:hint="eastAsia" w:ascii="仿宋" w:hAnsi="仿宋" w:eastAsia="仿宋"/>
              </w:rPr>
              <w:t>3</w:t>
            </w:r>
            <w:r>
              <w:rPr>
                <w:rFonts w:ascii="仿宋" w:hAnsi="仿宋" w:eastAsia="仿宋"/>
              </w:rPr>
              <w:t>.7</w:t>
            </w:r>
            <w:r>
              <w:rPr>
                <w:rFonts w:hint="eastAsia" w:ascii="仿宋" w:hAnsi="仿宋" w:eastAsia="仿宋"/>
              </w:rPr>
              <w:t>具备良好的</w:t>
            </w:r>
            <w:r>
              <w:rPr>
                <w:rFonts w:ascii="仿宋" w:hAnsi="仿宋" w:eastAsia="仿宋"/>
              </w:rPr>
              <w:t>工业包装应用技术、结构设计创新能力</w:t>
            </w:r>
            <w:r>
              <w:rPr>
                <w:rFonts w:hint="eastAsia" w:ascii="仿宋" w:hAnsi="仿宋" w:eastAsia="仿宋"/>
              </w:rPr>
              <w:t>，且能对包装</w:t>
            </w:r>
            <w:r>
              <w:rPr>
                <w:rFonts w:ascii="仿宋" w:hAnsi="仿宋" w:eastAsia="仿宋"/>
              </w:rPr>
              <w:t>结构设计、结构设计的功能、经济等的合理性评审确认</w:t>
            </w:r>
            <w:r>
              <w:rPr>
                <w:rFonts w:hint="eastAsia" w:ascii="仿宋" w:hAnsi="仿宋" w:eastAsia="仿宋"/>
              </w:rPr>
              <w:t>；</w:t>
            </w:r>
          </w:p>
          <w:p>
            <w:pPr>
              <w:pStyle w:val="37"/>
              <w:jc w:val="left"/>
              <w:rPr>
                <w:rFonts w:hint="eastAsia" w:ascii="仿宋" w:hAnsi="仿宋" w:eastAsia="仿宋"/>
              </w:rPr>
            </w:pPr>
            <w:r>
              <w:rPr>
                <w:rFonts w:ascii="仿宋" w:hAnsi="仿宋" w:eastAsia="仿宋"/>
              </w:rPr>
              <w:t>3.8</w:t>
            </w:r>
            <w:r>
              <w:rPr>
                <w:rFonts w:hint="eastAsia" w:ascii="仿宋" w:hAnsi="仿宋" w:eastAsia="仿宋"/>
              </w:rPr>
              <w:t>能结合自然科学、工程科学的知识与技术，综合应用物流与供应链学科领域的原理和分析方法，对复杂的物流管理问题进行判断、分析和研究，提出相应对策和建议，并形成解决方案。</w:t>
            </w:r>
          </w:p>
          <w:p>
            <w:pPr>
              <w:pStyle w:val="37"/>
              <w:jc w:val="left"/>
              <w:rPr>
                <w:rFonts w:hint="eastAsia" w:ascii="仿宋" w:hAnsi="仿宋" w:eastAsia="仿宋"/>
              </w:rPr>
            </w:pPr>
            <w:r>
              <w:rPr>
                <w:rFonts w:hint="eastAsia" w:ascii="仿宋" w:hAnsi="仿宋" w:eastAsia="仿宋"/>
              </w:rPr>
              <w:t>3.9能将所掌握工业物流领域知识和技能迁移应用到出口物流及低空物流领域，制定实施出口物流技术方案，开展低空物流运营管理。</w:t>
            </w:r>
          </w:p>
        </w:tc>
      </w:tr>
      <w:bookmarkEnd w:id="10"/>
    </w:tbl>
    <w:p/>
    <w:p>
      <w:pPr>
        <w:pStyle w:val="3"/>
        <w:spacing w:before="40" w:after="40" w:line="360" w:lineRule="auto"/>
        <w:ind w:firstLine="602" w:firstLineChars="200"/>
        <w:rPr>
          <w:rFonts w:hint="eastAsia" w:ascii="黑体" w:hAnsi="黑体" w:eastAsia="黑体" w:cs="黑体"/>
          <w:sz w:val="30"/>
          <w:szCs w:val="30"/>
        </w:rPr>
      </w:pPr>
      <w:bookmarkStart w:id="11" w:name="_Toc27196"/>
      <w:r>
        <w:rPr>
          <w:rFonts w:hint="eastAsia" w:ascii="黑体" w:hAnsi="黑体" w:eastAsia="黑体" w:cs="黑体"/>
          <w:sz w:val="30"/>
          <w:szCs w:val="30"/>
        </w:rPr>
        <w:t>六、课程设置及要求</w:t>
      </w:r>
      <w:bookmarkEnd w:id="11"/>
    </w:p>
    <w:p>
      <w:pPr>
        <w:pStyle w:val="2"/>
        <w:ind w:firstLine="562" w:firstLineChars="200"/>
        <w:rPr>
          <w:rFonts w:hint="eastAsia" w:ascii="仿宋_GB2312" w:hAnsi="仿宋_GB2312" w:eastAsia="仿宋_GB2312" w:cs="仿宋_GB2312"/>
          <w:sz w:val="28"/>
          <w:szCs w:val="36"/>
        </w:rPr>
      </w:pPr>
      <w:bookmarkStart w:id="12" w:name="_Toc12977"/>
      <w:r>
        <w:rPr>
          <w:rFonts w:hint="eastAsia" w:ascii="仿宋_GB2312" w:hAnsi="仿宋_GB2312" w:eastAsia="仿宋_GB2312" w:cs="仿宋_GB2312"/>
          <w:sz w:val="28"/>
          <w:szCs w:val="36"/>
        </w:rPr>
        <w:t>（一）课程体系</w:t>
      </w:r>
      <w:bookmarkEnd w:id="12"/>
    </w:p>
    <w:p>
      <w:pPr>
        <w:pStyle w:val="6"/>
        <w:rPr>
          <w:rFonts w:hint="eastAsia" w:ascii="仿宋" w:hAnsi="仿宋" w:eastAsia="仿宋" w:cs="仿宋"/>
          <w:sz w:val="30"/>
          <w:szCs w:val="30"/>
        </w:rPr>
      </w:pPr>
      <w:r>
        <w:rPr>
          <w:rFonts w:hint="eastAsia" w:ascii="仿宋" w:hAnsi="仿宋" w:eastAsia="仿宋" w:cs="仿宋"/>
          <w:sz w:val="30"/>
          <w:szCs w:val="30"/>
        </w:rPr>
        <w:t>1.课程体系结构</w:t>
      </w:r>
    </w:p>
    <w:p>
      <w:pPr>
        <w:adjustRightInd w:val="0"/>
        <w:snapToGrid w:val="0"/>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本专业构建“物流与供应链管理技术线、生产物流规划技术线、智能物流装备集成与应用技术线”三线协同的课程体系，以基础认知能力为起点，逐步提升技术应用与集成能力，最终导向创新优化能力。体系聚焦汽车供应链物流领域，融合顶层设计（工业规划）、运营中枢（供应链管理）、实施载体（装备技术），通过“认知→应用→创新”三阶段递进，培养兼具规划能力、智慧化运营能力及智能装备技术的复合型高层次物流人才。课程体系嵌入汽车产业案例，延续“校企协同”培养模式，确保技术与管理素养并重。</w:t>
      </w:r>
    </w:p>
    <w:p>
      <w:pPr>
        <w:adjustRightInd w:val="0"/>
        <w:snapToGrid w:val="0"/>
        <w:rPr>
          <w:rFonts w:hint="eastAsia" w:ascii="仿宋" w:hAnsi="仿宋" w:eastAsia="仿宋" w:cs="仿宋"/>
          <w:sz w:val="28"/>
          <w:szCs w:val="28"/>
        </w:rPr>
      </w:pPr>
      <w:r>
        <w:drawing>
          <wp:inline distT="0" distB="0" distL="0" distR="0">
            <wp:extent cx="5270500" cy="3542665"/>
            <wp:effectExtent l="0" t="0" r="6350" b="635"/>
            <wp:docPr id="1236060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060074" name="图片 1"/>
                    <pic:cNvPicPr>
                      <a:picLocks noChangeAspect="1"/>
                    </pic:cNvPicPr>
                  </pic:nvPicPr>
                  <pic:blipFill>
                    <a:blip r:embed="rId8"/>
                    <a:stretch>
                      <a:fillRect/>
                    </a:stretch>
                  </pic:blipFill>
                  <pic:spPr>
                    <a:xfrm>
                      <a:off x="0" y="0"/>
                      <a:ext cx="5270500" cy="3542665"/>
                    </a:xfrm>
                    <a:prstGeom prst="rect">
                      <a:avLst/>
                    </a:prstGeom>
                  </pic:spPr>
                </pic:pic>
              </a:graphicData>
            </a:graphic>
          </wp:inline>
        </w:drawing>
      </w:r>
    </w:p>
    <w:p>
      <w:pPr>
        <w:pStyle w:val="6"/>
        <w:rPr>
          <w:rFonts w:hint="eastAsia" w:ascii="仿宋" w:hAnsi="仿宋" w:eastAsia="仿宋" w:cs="仿宋"/>
          <w:sz w:val="30"/>
          <w:szCs w:val="30"/>
        </w:rPr>
      </w:pPr>
      <w:r>
        <w:rPr>
          <w:rFonts w:hint="eastAsia" w:ascii="仿宋" w:hAnsi="仿宋" w:eastAsia="仿宋" w:cs="仿宋"/>
          <w:sz w:val="30"/>
          <w:szCs w:val="30"/>
        </w:rPr>
        <w:t>2.课程矩阵</w:t>
      </w:r>
    </w:p>
    <w:p>
      <w:pPr>
        <w:pStyle w:val="23"/>
        <w:adjustRightInd w:val="0"/>
        <w:snapToGrid w:val="0"/>
        <w:spacing w:line="360" w:lineRule="auto"/>
        <w:ind w:firstLine="442"/>
        <w:jc w:val="center"/>
        <w:rPr>
          <w:rFonts w:hint="eastAsia" w:ascii="仿宋" w:hAnsi="仿宋" w:eastAsia="仿宋" w:cs="仿宋"/>
          <w:b/>
          <w:bCs/>
          <w:sz w:val="22"/>
          <w:szCs w:val="22"/>
        </w:rPr>
      </w:pPr>
      <w:r>
        <w:rPr>
          <w:rFonts w:hint="eastAsia" w:ascii="仿宋" w:hAnsi="仿宋" w:eastAsia="仿宋" w:cs="仿宋"/>
          <w:b/>
          <w:bCs/>
          <w:sz w:val="22"/>
          <w:szCs w:val="22"/>
        </w:rPr>
        <w:t>表：通识教育课程矩阵</w:t>
      </w:r>
    </w:p>
    <w:p>
      <w:pPr>
        <w:adjustRightInd w:val="0"/>
        <w:snapToGrid w:val="0"/>
        <w:spacing w:line="360" w:lineRule="auto"/>
        <w:rPr>
          <w:rFonts w:hint="eastAsia" w:ascii="仿宋" w:hAnsi="仿宋" w:eastAsia="仿宋" w:cs="仿宋"/>
          <w:b/>
          <w:bCs/>
          <w:sz w:val="22"/>
          <w:szCs w:val="22"/>
        </w:rPr>
      </w:pPr>
      <w:r>
        <w:drawing>
          <wp:inline distT="0" distB="0" distL="0" distR="0">
            <wp:extent cx="5270500" cy="3369945"/>
            <wp:effectExtent l="0" t="0" r="6350" b="1905"/>
            <wp:docPr id="19964569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456921" name="图片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0500" cy="3369945"/>
                    </a:xfrm>
                    <a:prstGeom prst="rect">
                      <a:avLst/>
                    </a:prstGeom>
                    <a:noFill/>
                    <a:ln>
                      <a:noFill/>
                    </a:ln>
                  </pic:spPr>
                </pic:pic>
              </a:graphicData>
            </a:graphic>
          </wp:inline>
        </w:drawing>
      </w:r>
    </w:p>
    <w:p>
      <w:pPr>
        <w:pStyle w:val="23"/>
        <w:adjustRightInd w:val="0"/>
        <w:snapToGrid w:val="0"/>
        <w:spacing w:line="360" w:lineRule="auto"/>
        <w:ind w:firstLine="442"/>
        <w:jc w:val="center"/>
        <w:rPr>
          <w:rFonts w:hint="eastAsia" w:ascii="仿宋" w:hAnsi="仿宋" w:eastAsia="仿宋" w:cs="仿宋"/>
          <w:b/>
          <w:bCs/>
          <w:sz w:val="22"/>
          <w:szCs w:val="22"/>
        </w:rPr>
      </w:pPr>
    </w:p>
    <w:p>
      <w:pPr>
        <w:pStyle w:val="23"/>
        <w:adjustRightInd w:val="0"/>
        <w:snapToGrid w:val="0"/>
        <w:spacing w:line="360" w:lineRule="auto"/>
        <w:ind w:firstLine="442"/>
        <w:jc w:val="center"/>
        <w:rPr>
          <w:rFonts w:hint="eastAsia" w:ascii="仿宋" w:hAnsi="仿宋" w:eastAsia="仿宋" w:cs="仿宋"/>
          <w:b/>
          <w:bCs/>
          <w:sz w:val="22"/>
          <w:szCs w:val="22"/>
        </w:rPr>
      </w:pPr>
    </w:p>
    <w:p>
      <w:pPr>
        <w:pStyle w:val="23"/>
        <w:adjustRightInd w:val="0"/>
        <w:snapToGrid w:val="0"/>
        <w:spacing w:line="360" w:lineRule="auto"/>
        <w:ind w:firstLine="442"/>
        <w:jc w:val="center"/>
        <w:rPr>
          <w:rFonts w:hint="eastAsia" w:ascii="仿宋" w:hAnsi="仿宋" w:eastAsia="仿宋" w:cs="仿宋"/>
          <w:b/>
          <w:bCs/>
          <w:sz w:val="22"/>
          <w:szCs w:val="22"/>
        </w:rPr>
      </w:pPr>
    </w:p>
    <w:p>
      <w:pPr>
        <w:pStyle w:val="23"/>
        <w:adjustRightInd w:val="0"/>
        <w:snapToGrid w:val="0"/>
        <w:spacing w:line="360" w:lineRule="auto"/>
        <w:ind w:firstLine="442"/>
        <w:jc w:val="center"/>
        <w:rPr>
          <w:rFonts w:hint="eastAsia" w:ascii="仿宋" w:hAnsi="仿宋" w:eastAsia="仿宋" w:cs="仿宋"/>
          <w:b/>
          <w:bCs/>
          <w:sz w:val="22"/>
          <w:szCs w:val="22"/>
        </w:rPr>
      </w:pPr>
    </w:p>
    <w:p>
      <w:pPr>
        <w:pStyle w:val="23"/>
        <w:adjustRightInd w:val="0"/>
        <w:snapToGrid w:val="0"/>
        <w:spacing w:line="360" w:lineRule="auto"/>
        <w:ind w:firstLine="442"/>
        <w:jc w:val="center"/>
        <w:rPr>
          <w:rFonts w:hint="eastAsia" w:ascii="仿宋" w:hAnsi="仿宋" w:eastAsia="仿宋" w:cs="仿宋"/>
          <w:b/>
          <w:bCs/>
          <w:sz w:val="22"/>
          <w:szCs w:val="22"/>
        </w:rPr>
      </w:pPr>
      <w:r>
        <w:rPr>
          <w:rFonts w:hint="eastAsia" w:ascii="仿宋" w:hAnsi="仿宋" w:eastAsia="仿宋" w:cs="仿宋"/>
          <w:b/>
          <w:bCs/>
          <w:sz w:val="22"/>
          <w:szCs w:val="22"/>
        </w:rPr>
        <w:t>表：专业教育课程矩阵</w:t>
      </w:r>
    </w:p>
    <w:p>
      <w:pPr>
        <w:pStyle w:val="6"/>
        <w:ind w:firstLine="0"/>
        <w:rPr>
          <w:rFonts w:hint="eastAsia" w:ascii="仿宋" w:hAnsi="仿宋" w:eastAsia="仿宋" w:cs="仿宋"/>
          <w:sz w:val="24"/>
          <w:szCs w:val="24"/>
        </w:rPr>
      </w:pPr>
      <w:r>
        <w:rPr>
          <w:rFonts w:hint="eastAsia"/>
        </w:rPr>
        <w:drawing>
          <wp:inline distT="0" distB="0" distL="0" distR="0">
            <wp:extent cx="5270500" cy="4853940"/>
            <wp:effectExtent l="0" t="0" r="6350" b="3810"/>
            <wp:docPr id="4145136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13681" name="图片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0500" cy="4853940"/>
                    </a:xfrm>
                    <a:prstGeom prst="rect">
                      <a:avLst/>
                    </a:prstGeom>
                    <a:noFill/>
                    <a:ln>
                      <a:noFill/>
                    </a:ln>
                  </pic:spPr>
                </pic:pic>
              </a:graphicData>
            </a:graphic>
          </wp:inline>
        </w:drawing>
      </w:r>
    </w:p>
    <w:p>
      <w:pPr>
        <w:pStyle w:val="6"/>
        <w:ind w:firstLine="0"/>
        <w:rPr>
          <w:rFonts w:hint="eastAsia" w:ascii="仿宋" w:hAnsi="仿宋" w:eastAsia="仿宋" w:cs="仿宋"/>
          <w:sz w:val="24"/>
          <w:szCs w:val="24"/>
        </w:rPr>
      </w:pPr>
    </w:p>
    <w:p>
      <w:pPr>
        <w:pStyle w:val="6"/>
        <w:ind w:firstLine="0"/>
        <w:rPr>
          <w:rFonts w:hint="eastAsia" w:ascii="仿宋" w:hAnsi="仿宋" w:eastAsia="仿宋" w:cs="仿宋"/>
          <w:sz w:val="24"/>
          <w:szCs w:val="24"/>
        </w:rPr>
      </w:pPr>
    </w:p>
    <w:p>
      <w:pPr>
        <w:pStyle w:val="6"/>
        <w:rPr>
          <w:rFonts w:hint="eastAsia"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pPr>
        <w:pStyle w:val="2"/>
        <w:ind w:firstLine="562" w:firstLineChars="200"/>
        <w:rPr>
          <w:rFonts w:hint="eastAsia" w:ascii="仿宋_GB2312" w:hAnsi="仿宋_GB2312" w:eastAsia="仿宋_GB2312" w:cs="仿宋_GB2312"/>
          <w:sz w:val="28"/>
          <w:szCs w:val="36"/>
        </w:rPr>
      </w:pPr>
      <w:bookmarkStart w:id="13" w:name="_Toc4982"/>
      <w:r>
        <w:rPr>
          <w:rFonts w:hint="eastAsia" w:ascii="仿宋_GB2312" w:hAnsi="仿宋_GB2312" w:eastAsia="仿宋_GB2312" w:cs="仿宋_GB2312"/>
          <w:sz w:val="28"/>
          <w:szCs w:val="36"/>
        </w:rPr>
        <w:t>（二）课程设置</w:t>
      </w:r>
      <w:bookmarkEnd w:id="13"/>
    </w:p>
    <w:p>
      <w:pPr>
        <w:pStyle w:val="6"/>
        <w:rPr>
          <w:rFonts w:hint="eastAsia" w:ascii="仿宋" w:hAnsi="仿宋" w:eastAsia="仿宋" w:cs="仿宋"/>
          <w:sz w:val="30"/>
          <w:szCs w:val="30"/>
        </w:rPr>
      </w:pPr>
      <w:r>
        <w:rPr>
          <w:rFonts w:hint="eastAsia" w:ascii="仿宋" w:hAnsi="仿宋" w:eastAsia="仿宋" w:cs="仿宋"/>
          <w:sz w:val="30"/>
          <w:szCs w:val="30"/>
        </w:rPr>
        <w:t>1.通识教育课程设置</w:t>
      </w:r>
    </w:p>
    <w:p>
      <w:pPr>
        <w:pStyle w:val="6"/>
        <w:jc w:val="center"/>
        <w:rPr>
          <w:rFonts w:hint="eastAsia" w:ascii="仿宋" w:hAnsi="仿宋" w:eastAsia="仿宋" w:cs="仿宋"/>
          <w:b/>
          <w:bCs/>
          <w:sz w:val="24"/>
          <w:szCs w:val="24"/>
          <w:highlight w:val="yellow"/>
        </w:rPr>
      </w:pPr>
    </w:p>
    <w:p>
      <w:pPr>
        <w:pStyle w:val="6"/>
        <w:jc w:val="center"/>
        <w:rPr>
          <w:rFonts w:hint="eastAsia" w:ascii="仿宋" w:hAnsi="仿宋" w:eastAsia="仿宋" w:cs="仿宋"/>
          <w:b/>
          <w:bCs/>
          <w:sz w:val="24"/>
          <w:szCs w:val="24"/>
        </w:rPr>
      </w:pPr>
      <w:r>
        <w:rPr>
          <w:rFonts w:hint="eastAsia" w:ascii="仿宋" w:hAnsi="仿宋" w:eastAsia="仿宋" w:cs="仿宋"/>
          <w:b/>
          <w:bCs/>
          <w:sz w:val="24"/>
          <w:szCs w:val="24"/>
        </w:rPr>
        <w:t>表 通识教育课程描述</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5"/>
        <w:gridCol w:w="1373"/>
        <w:gridCol w:w="2054"/>
        <w:gridCol w:w="2367"/>
        <w:gridCol w:w="2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序号</w:t>
            </w:r>
          </w:p>
        </w:tc>
        <w:tc>
          <w:tcPr>
            <w:tcW w:w="806"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课程名称</w:t>
            </w:r>
          </w:p>
        </w:tc>
        <w:tc>
          <w:tcPr>
            <w:tcW w:w="1206"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课程目标</w:t>
            </w:r>
          </w:p>
        </w:tc>
        <w:tc>
          <w:tcPr>
            <w:tcW w:w="1390"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主要内容</w:t>
            </w:r>
          </w:p>
        </w:tc>
        <w:tc>
          <w:tcPr>
            <w:tcW w:w="1194" w:type="pct"/>
            <w:shd w:val="clear" w:color="auto" w:fill="FFFFFF" w:themeFill="background1"/>
            <w:vAlign w:val="center"/>
          </w:tcPr>
          <w:p>
            <w:pPr>
              <w:jc w:val="center"/>
              <w:rPr>
                <w:rFonts w:hint="eastAsia" w:ascii="仿宋_GB2312" w:hAnsi="仿宋_GB2312" w:eastAsia="仿宋_GB2312" w:cs="仿宋_GB2312"/>
                <w:b/>
                <w:bCs/>
                <w:szCs w:val="21"/>
              </w:rPr>
            </w:pPr>
            <w:r>
              <w:rPr>
                <w:rFonts w:hint="eastAsia" w:ascii="仿宋_GB2312" w:hAnsi="仿宋_GB2312" w:eastAsia="仿宋_GB2312" w:cs="仿宋_GB2312"/>
                <w:b/>
                <w:bCs/>
                <w:szCs w:val="21"/>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1</w:t>
            </w:r>
          </w:p>
        </w:tc>
        <w:tc>
          <w:tcPr>
            <w:tcW w:w="806" w:type="pct"/>
            <w:shd w:val="clear" w:color="auto" w:fill="FFFFFF" w:themeFill="background1"/>
            <w:vAlign w:val="center"/>
          </w:tcPr>
          <w:p>
            <w:pPr>
              <w:rPr>
                <w:rFonts w:hint="eastAsia" w:ascii="仿宋_GB2312" w:hAnsi="仿宋_GB2312" w:eastAsia="仿宋_GB2312" w:cs="仿宋_GB2312"/>
                <w:b/>
                <w:bCs/>
                <w:szCs w:val="21"/>
              </w:rPr>
            </w:pPr>
            <w:r>
              <w:rPr>
                <w:rFonts w:hint="eastAsia" w:ascii="仿宋_GB2312" w:hAnsi="仿宋_GB2312" w:eastAsia="仿宋_GB2312" w:cs="仿宋_GB2312"/>
                <w:szCs w:val="21"/>
              </w:rPr>
              <w:t>大学生安全教育（一）-（</w:t>
            </w:r>
            <w:r>
              <w:rPr>
                <w:rFonts w:hint="eastAsia" w:ascii="仿宋_GB2312" w:hAnsi="仿宋_GB2312" w:cs="仿宋_GB2312"/>
                <w:szCs w:val="21"/>
              </w:rPr>
              <w:t>六</w:t>
            </w:r>
            <w:r>
              <w:rPr>
                <w:rFonts w:hint="eastAsia" w:ascii="仿宋_GB2312" w:hAnsi="仿宋_GB2312" w:eastAsia="仿宋_GB2312" w:cs="仿宋_GB2312"/>
                <w:szCs w:val="21"/>
              </w:rPr>
              <w:t>）</w:t>
            </w:r>
          </w:p>
        </w:tc>
        <w:tc>
          <w:tcPr>
            <w:tcW w:w="1206"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390"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财产安全，社交安全，珍爱生命，远离赌博与禁毒，国家安全，交通安全，人身安全，消防安全，网络安全，食品安全，防灾避险，个人防治艾滋病、HIV感染高危人群防艾等基本知识。</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1.教学形式：讲授式授课+网上自主学习；</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2</w:t>
            </w:r>
          </w:p>
        </w:tc>
        <w:tc>
          <w:tcPr>
            <w:tcW w:w="806" w:type="pct"/>
            <w:shd w:val="clear" w:color="auto" w:fill="FFFFFF" w:themeFill="background1"/>
            <w:vAlign w:val="center"/>
          </w:tcPr>
          <w:p>
            <w:pPr>
              <w:rPr>
                <w:rFonts w:hint="eastAsia" w:ascii="仿宋_GB2312" w:hAnsi="仿宋_GB2312" w:eastAsia="仿宋_GB2312" w:cs="仿宋_GB2312"/>
                <w:b/>
                <w:bCs/>
                <w:szCs w:val="21"/>
              </w:rPr>
            </w:pPr>
            <w:r>
              <w:rPr>
                <w:rFonts w:hint="eastAsia" w:ascii="仿宋_GB2312" w:hAnsi="仿宋_GB2312" w:eastAsia="仿宋_GB2312" w:cs="仿宋_GB2312"/>
                <w:szCs w:val="21"/>
              </w:rPr>
              <w:t>军事理论</w:t>
            </w:r>
          </w:p>
        </w:tc>
        <w:tc>
          <w:tcPr>
            <w:tcW w:w="1206"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390" w:type="pct"/>
            <w:shd w:val="clear" w:color="auto" w:fill="FFFFFF" w:themeFill="background1"/>
            <w:vAlign w:val="center"/>
          </w:tcPr>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b/>
                <w:bCs/>
                <w:szCs w:val="21"/>
              </w:rPr>
            </w:pPr>
            <w:r>
              <w:rPr>
                <w:rFonts w:hint="eastAsia" w:ascii="仿宋_GB2312" w:hAnsi="仿宋_GB2312" w:eastAsia="仿宋_GB2312" w:cs="仿宋_GB2312"/>
                <w:szCs w:val="21"/>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3</w:t>
            </w:r>
          </w:p>
        </w:tc>
        <w:tc>
          <w:tcPr>
            <w:tcW w:w="806" w:type="pct"/>
            <w:shd w:val="clear" w:color="auto" w:fill="FFFFFF" w:themeFill="background1"/>
            <w:vAlign w:val="center"/>
          </w:tcPr>
          <w:p>
            <w:pPr>
              <w:pStyle w:val="44"/>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4</w:t>
            </w:r>
          </w:p>
        </w:tc>
        <w:tc>
          <w:tcPr>
            <w:tcW w:w="806" w:type="pct"/>
            <w:shd w:val="clear" w:color="auto" w:fill="FFFFFF" w:themeFill="background1"/>
            <w:vAlign w:val="center"/>
          </w:tcPr>
          <w:p>
            <w:pPr>
              <w:pStyle w:val="44"/>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pPr>
              <w:pStyle w:val="44"/>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5</w:t>
            </w:r>
          </w:p>
        </w:tc>
        <w:tc>
          <w:tcPr>
            <w:tcW w:w="806" w:type="pct"/>
            <w:shd w:val="clear" w:color="auto" w:fill="FFFFFF" w:themeFill="background1"/>
            <w:vAlign w:val="center"/>
          </w:tcPr>
          <w:p>
            <w:pPr>
              <w:pStyle w:val="44"/>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94"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6</w:t>
            </w:r>
          </w:p>
        </w:tc>
        <w:tc>
          <w:tcPr>
            <w:tcW w:w="806" w:type="pct"/>
            <w:shd w:val="clear" w:color="auto" w:fill="FFFFFF" w:themeFill="background1"/>
            <w:vAlign w:val="center"/>
          </w:tcPr>
          <w:p>
            <w:pPr>
              <w:pStyle w:val="44"/>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eastAsia="仿宋_GB2312" w:cs="仿宋_GB2312"/>
                <w:color w:val="000000"/>
                <w:kern w:val="0"/>
                <w:szCs w:val="21"/>
                <w:lang w:bidi="ar"/>
              </w:rPr>
              <w:t>7</w:t>
            </w:r>
          </w:p>
        </w:tc>
        <w:tc>
          <w:tcPr>
            <w:tcW w:w="806" w:type="pct"/>
            <w:shd w:val="clear" w:color="auto" w:fill="FFFFFF" w:themeFill="background1"/>
            <w:vAlign w:val="center"/>
          </w:tcPr>
          <w:p>
            <w:pPr>
              <w:pStyle w:val="44"/>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2" w:type="pct"/>
            <w:shd w:val="clear" w:color="auto" w:fill="FFFFFF" w:themeFill="background1"/>
            <w:vAlign w:val="center"/>
          </w:tcPr>
          <w:p>
            <w:pPr>
              <w:widowControl/>
              <w:jc w:val="center"/>
              <w:textAlignment w:val="center"/>
              <w:rPr>
                <w:rFonts w:hint="eastAsia" w:ascii="仿宋_GB2312" w:hAnsi="仿宋_GB2312" w:eastAsia="仿宋_GB2312" w:cs="仿宋_GB2312"/>
                <w:b/>
                <w:bCs/>
                <w:szCs w:val="21"/>
              </w:rPr>
            </w:pPr>
            <w:r>
              <w:rPr>
                <w:rFonts w:hint="eastAsia" w:ascii="仿宋_GB2312" w:hAnsi="仿宋_GB2312" w:cs="仿宋_GB2312"/>
                <w:szCs w:val="21"/>
              </w:rPr>
              <w:t>8</w:t>
            </w:r>
          </w:p>
        </w:tc>
        <w:tc>
          <w:tcPr>
            <w:tcW w:w="8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中华民族共同体概论</w:t>
            </w:r>
          </w:p>
        </w:tc>
        <w:tc>
          <w:tcPr>
            <w:tcW w:w="2056" w:type="dxa"/>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2369" w:type="dxa"/>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2035" w:type="dxa"/>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1.教学形式：混合式授课；</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9</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大学生职业发展与就业指导（一）-（二）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2.实践部分：职业测评软件实操、职业生涯规划书撰写与路演、求职简历及自荐信定制、模拟面试与角色扮演、行业企业考察与校友访谈、参加全国大学生职业规划大赛。</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2.教室要求：多媒体教室+机房；</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10</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大学生创新与创业实务（一）-（二）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1.理论部分：创新创业概念与国家地方政策、创业模型、创新方法、精益创业原理；精益画布、商业模式画布等系统工具；创业团队组建、机会识别、财税基础、政策法规等。</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2.实践部分：新能源汽车、柳州螺蛳粉等地方产业命题项目实战；贝腾创新创业仿真系统训练；创业计划书撰写、路演 PPT 设计与现场路演；参加中国国际大学生创新大赛。</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1.教学形式：混合式教学、虚拟仿真与竞赛实战相结合；</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2.教室要求：多媒体教室、机房；</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11</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大学生心理健康教育（一）-（二）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 理论部分</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基础理论：心理健康标准、心理发展规律（青春期至成年早期）、身心交互机制</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核心能力模块：</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自我认知：人格特质理论、自我意识发展、优势识别工具</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情绪管理：情绪ABC理论、正念调节技术、危机预警信号识别</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压力应对：压力源分析、认知重构策略、心身放松技术</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人际关系：沟通分析（TA理论）、边界建立、冲突化解模型、恋爱关系发展模型、 健康性心理标准</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生命教育：意义感构建、挫折应对、心理危机干预体系</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 实践部分</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团体心理辅导：角色扮演、信任构建</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个人心理健康计划书制定</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校园心理微电影创作</w:t>
            </w:r>
          </w:p>
          <w:p>
            <w:pPr>
              <w:spacing w:line="240" w:lineRule="exact"/>
              <w:rPr>
                <w:rFonts w:hint="eastAsia" w:ascii="仿宋_GB2312" w:hAnsi="仿宋_GB2312" w:eastAsia="仿宋_GB2312" w:cs="仿宋_GB2312"/>
                <w:szCs w:val="21"/>
              </w:rPr>
            </w:pP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12</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大学英语（一）-（二）</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强化学生英语语言技能，促进学生英语学科核心素养的发展，培养具有中国情怀、国际视野，能够在日常生活和职场中用英语进行有效沟通的高素质技术技能人才</w:t>
            </w:r>
          </w:p>
        </w:tc>
        <w:tc>
          <w:tcPr>
            <w:tcW w:w="1390"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人文生活、职业规范、科技发展、生产环境等相关的语篇及素材</w:t>
            </w:r>
          </w:p>
        </w:tc>
        <w:tc>
          <w:tcPr>
            <w:tcW w:w="1194"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1.教学形式：混合式教学法；</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3.考核形式：平时考核（在线统计）50%，口语实训20%，期末测试成绩30%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13</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大学体育（一）</w:t>
            </w:r>
          </w:p>
        </w:tc>
        <w:tc>
          <w:tcPr>
            <w:tcW w:w="12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以健康理论为基础，以八段锦技能学习及身体素质锻炼为主体，以课外体育活动为补充，全面提高学生职业体能和对体育锻炼的认识。</w:t>
            </w:r>
          </w:p>
        </w:tc>
        <w:tc>
          <w:tcPr>
            <w:tcW w:w="1194"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3.考核形式：</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14</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大学体育（二）、大学体育（三）</w:t>
            </w:r>
          </w:p>
        </w:tc>
        <w:tc>
          <w:tcPr>
            <w:tcW w:w="12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本课程是以学生身体练习为主要手段，通过合理的体育教学和科学的体育锻炼，使学生达到增强体质、促进身心健康和提高体育与健康核心素养为主要目标的课程。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以健康理论为基础，以篮球、排球、网球、乒乓球、健美操、体育舞蹈、太极拳、田径（健身跑）等8项技能学习及身体素质锻炼为主体，以课外体育活动为补充，全面提高学生职业体能和对体育锻炼的认识。</w:t>
            </w:r>
          </w:p>
        </w:tc>
        <w:tc>
          <w:tcPr>
            <w:tcW w:w="1194"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3.考核形式：</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15</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大学体育（四）</w:t>
            </w:r>
          </w:p>
        </w:tc>
        <w:tc>
          <w:tcPr>
            <w:tcW w:w="12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390"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以弹跳、速度、柔韧、耐力、力量等身体素质锻炼及立定跳远、引体向上（男）/仰卧起坐（女）、50米、1000米（男）/800米（女）等体质测试为主体，以课外体育活动为补充。</w:t>
            </w:r>
          </w:p>
        </w:tc>
        <w:tc>
          <w:tcPr>
            <w:tcW w:w="1194"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1.教学形式：混合式授课；</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2.教室要求：运动场馆；</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3.考核要求：</w:t>
            </w:r>
          </w:p>
          <w:p>
            <w:pPr>
              <w:widowControl/>
              <w:spacing w:line="300" w:lineRule="exact"/>
              <w:textAlignment w:val="center"/>
              <w:rPr>
                <w:rFonts w:hint="eastAsia"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16</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通用礼仪</w:t>
            </w:r>
          </w:p>
        </w:tc>
        <w:tc>
          <w:tcPr>
            <w:tcW w:w="1206" w:type="pct"/>
            <w:shd w:val="clear" w:color="auto" w:fill="FFFFFF" w:themeFill="background1"/>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390" w:type="pct"/>
            <w:shd w:val="clear" w:color="auto" w:fill="FFFFFF" w:themeFill="background1"/>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学习内容由基础模块和拓展模块构成，基础模块包含个人礼仪、沟通礼仪、交往礼仪；拓展模块为求职礼仪。</w:t>
            </w:r>
          </w:p>
        </w:tc>
        <w:tc>
          <w:tcPr>
            <w:tcW w:w="1194" w:type="pct"/>
            <w:shd w:val="clear" w:color="auto" w:fill="FFFFFF" w:themeFill="background1"/>
            <w:vAlign w:val="center"/>
          </w:tcPr>
          <w:p>
            <w:pPr>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pPr>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pPr>
              <w:rPr>
                <w:rFonts w:hint="eastAsia" w:ascii="仿宋_GB2312" w:hAnsi="仿宋_GB2312" w:eastAsia="仿宋_GB2312" w:cs="仿宋_GB2312"/>
                <w:szCs w:val="21"/>
              </w:rPr>
            </w:pPr>
            <w:r>
              <w:rPr>
                <w:rFonts w:hint="eastAsia" w:ascii="仿宋_GB2312" w:hAnsi="仿宋_GB2312" w:eastAsia="仿宋_GB2312" w:cs="仿宋_GB2312"/>
                <w:szCs w:val="21"/>
              </w:rPr>
              <w:t>3.考核形式：过程性考核100%。</w:t>
            </w:r>
          </w:p>
          <w:p>
            <w:pPr>
              <w:rPr>
                <w:rFonts w:hint="eastAsia" w:ascii="仿宋_GB2312" w:hAnsi="仿宋_GB2312" w:eastAsia="仿宋_GB2312" w:cs="仿宋_GB2312"/>
                <w:szCs w:val="21"/>
              </w:rPr>
            </w:pPr>
          </w:p>
          <w:p>
            <w:pPr>
              <w:pStyle w:val="44"/>
              <w:spacing w:before="40"/>
              <w:ind w:right="57"/>
              <w:jc w:val="both"/>
              <w:rPr>
                <w:rFonts w:hint="eastAsia" w:ascii="仿宋_GB2312" w:hAnsi="仿宋_GB2312" w:eastAsia="仿宋_GB2312" w:cs="仿宋_GB2312"/>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774" w:hRule="atLeast"/>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17</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szCs w:val="21"/>
              </w:rPr>
              <w:t>中国优秀传统文化</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1.知识学习：传统文化基本精神、古文学、建筑、节日文化、茶文化等模块；</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18</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应用文写作</w:t>
            </w:r>
          </w:p>
        </w:tc>
        <w:tc>
          <w:tcPr>
            <w:tcW w:w="1206" w:type="pct"/>
            <w:shd w:val="clear" w:color="auto" w:fill="FFFFFF" w:themeFill="background1"/>
            <w:vAlign w:val="center"/>
          </w:tcPr>
          <w:p>
            <w:pPr>
              <w:spacing w:line="240" w:lineRule="exact"/>
              <w:rPr>
                <w:rFonts w:hint="eastAsia" w:ascii="仿宋_GB2312" w:hAnsi="仿宋_GB2312" w:eastAsia="仿宋_GB2312" w:cs="仿宋_GB2312"/>
                <w:szCs w:val="21"/>
              </w:rPr>
            </w:pPr>
            <w:r>
              <w:rPr>
                <w:rFonts w:hint="eastAsia" w:ascii="仿宋_GB2312" w:hAnsi="仿宋_GB2312" w:eastAsia="仿宋_GB2312" w:cs="仿宋_GB2312"/>
                <w:szCs w:val="21"/>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1.知识学习：公务文书、事务文书、科技文书三大模块；</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2.综合实践：调查实践，撰写调查报告；</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szCs w:val="21"/>
              </w:rPr>
            </w:pPr>
            <w:r>
              <w:rPr>
                <w:rFonts w:hint="eastAsia" w:ascii="仿宋_GB2312" w:hAnsi="仿宋_GB2312" w:eastAsia="仿宋_GB2312" w:cs="仿宋_GB2312"/>
                <w:kern w:val="0"/>
                <w:szCs w:val="21"/>
                <w:lang w:bidi="ar"/>
              </w:rPr>
              <w:t>19</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大学语文</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能根据具体的语言环境理解语言，能整体感知和领会文本，理解文本的思想内容、常见写作手法及语言表现力。能根据学习、生活和职业工作需要，准确无误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1.知识学习：文学作品阅读与鉴赏、演讲能力训练、科技应用文三大模块；</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爱我中华经典诵读、职业畅想主题演讲；</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3.思政元素：文化传承、家国情怀、工匠精神、世事洞明、文体章成。</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20</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kern w:val="0"/>
                <w:szCs w:val="21"/>
                <w:lang w:bidi="ar"/>
              </w:rPr>
              <w:t>经济数学</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经济学中常用的经济函数，极限概念、运算法则和第二重要极限公式及其应用，导数概念、公式、运算法则，边际分析，最值问题，弹性分析，不定积分、定积分和定积分的应用、微分方程等。</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2.实践部分：软件计算函数极限、导数、积分、微分方程等。</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21</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kern w:val="0"/>
                <w:szCs w:val="21"/>
                <w:lang w:bidi="ar"/>
              </w:rPr>
              <w:t>高等数学</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微分，微分中值定理微分，曲率，不定积分，定积分和定积分的应用，微分方程，向量代数与空间解析几何，多元函数微分学及其应用，重积分和无穷级数等；</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2.实践部分：软件制图，软件计算函数极限、导数、积分、微分方程、偏导数、重积分、级数等。</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eastAsia="仿宋_GB2312" w:cs="仿宋_GB2312"/>
                <w:kern w:val="0"/>
                <w:szCs w:val="21"/>
                <w:lang w:bidi="ar"/>
              </w:rPr>
              <w:t>22</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线性代数</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ascii="Calibri" w:hAnsi="Calibri" w:eastAsia="仿宋_GB2312" w:cs="Calibri"/>
                <w:color w:val="auto"/>
                <w:kern w:val="2"/>
                <w:sz w:val="21"/>
                <w:szCs w:val="21"/>
              </w:rPr>
              <w:t> </w:t>
            </w:r>
            <w:r>
              <w:rPr>
                <w:rFonts w:hint="eastAsia" w:ascii="仿宋_GB2312" w:hAnsi="仿宋_GB2312" w:eastAsia="仿宋_GB2312" w:cs="仿宋_GB2312"/>
                <w:color w:val="auto"/>
                <w:kern w:val="2"/>
                <w:sz w:val="21"/>
                <w:szCs w:val="21"/>
              </w:rPr>
              <w:t>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kern w:val="0"/>
                <w:szCs w:val="21"/>
                <w:lang w:bidi="ar"/>
              </w:rPr>
              <w:t>23</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概率论与数理统计</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概率统计知识，掌握随机现象建模与数据分析的基本思想方法，具备必要的概率计算、统计推断及软件应用技能，使学生具备较强的抽象思维与量化分析能力，提高学生利用概率统计工具解决不确定性决策与数据处理类实际问题的能力，培养学生的创新精神和严谨求实的科学精神。</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随机事件与概率，包括事件的关系与运算、概率的定义与性质、条件概率与独立性；一维和多维随机变量及其分布，常见分布类型；随机变量的数字特征，如数学期望、方差、协方差和相关系数；大数定律与中心极限定理；数理统计的基本概念，参数估计的方法，假设检验的基本思想；</w:t>
            </w:r>
          </w:p>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2.实践部分：运用统计软件（如 Excel、SPSS等）进行数据的收集、整理与分析，包括数据的描述性统计、参数估计和假设检验等实际操作。通过实践环节加深对理论知识的理解，提高学生解决实际问题的能力。</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kern w:val="0"/>
                <w:szCs w:val="21"/>
                <w:lang w:bidi="ar"/>
              </w:rPr>
              <w:t>24</w:t>
            </w:r>
          </w:p>
        </w:tc>
        <w:tc>
          <w:tcPr>
            <w:tcW w:w="806" w:type="pct"/>
            <w:shd w:val="clear" w:color="auto" w:fill="FFFFFF" w:themeFill="background1"/>
            <w:vAlign w:val="center"/>
          </w:tcPr>
          <w:p>
            <w:pPr>
              <w:widowControl/>
              <w:spacing w:line="300" w:lineRule="exact"/>
              <w:textAlignment w:val="center"/>
              <w:rPr>
                <w:rFonts w:hint="eastAsia" w:ascii="仿宋_GB2312" w:hAnsi="仿宋_GB2312" w:eastAsia="仿宋_GB2312" w:cs="仿宋_GB2312"/>
                <w:szCs w:val="21"/>
              </w:rPr>
            </w:pPr>
            <w:r>
              <w:rPr>
                <w:rFonts w:hint="eastAsia" w:ascii="仿宋_GB2312" w:hAnsi="仿宋_GB2312" w:eastAsia="仿宋_GB2312" w:cs="仿宋_GB2312"/>
                <w:color w:val="000000"/>
                <w:kern w:val="0"/>
                <w:szCs w:val="21"/>
                <w:lang w:bidi="ar"/>
              </w:rPr>
              <w:t>离散数学</w:t>
            </w:r>
          </w:p>
        </w:tc>
        <w:tc>
          <w:tcPr>
            <w:tcW w:w="1206"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离散数学核心知识，掌握逻辑推理、离散结构建模与算法分析的基本思想方法，具备必要的形式化描述与组合计算技能，使学生具备较强的抽象思维与严谨的逻辑论证能力，提高学生利用离散工具解决计算机科学中逻辑验证、结构优化与信息处理类实际问题的能力，培养学生的创新精神和科学计算素养。</w:t>
            </w:r>
          </w:p>
        </w:tc>
        <w:tc>
          <w:tcPr>
            <w:tcW w:w="1390" w:type="pct"/>
            <w:shd w:val="clear" w:color="auto" w:fill="FFFFFF" w:themeFill="background1"/>
            <w:vAlign w:val="center"/>
          </w:tcPr>
          <w:p>
            <w:pPr>
              <w:pStyle w:val="44"/>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逻辑部分涵盖命题逻辑和谓词逻辑的基本概念、公式及推理规则；集合论讲解集合运算、关系和函数及其性质；图论包括图的表示、路径问题、图的连通性、树、图的遍历等内容；代数系统介绍代数结构的基本概念及群、环、域等常见代数系统；组合数学涵盖排列组合、鸽巢原理、容斥原理等。</w:t>
            </w:r>
          </w:p>
        </w:tc>
        <w:tc>
          <w:tcPr>
            <w:tcW w:w="1194" w:type="pct"/>
            <w:shd w:val="clear" w:color="auto" w:fill="FFFFFF" w:themeFill="background1"/>
            <w:vAlign w:val="center"/>
          </w:tcPr>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pPr>
              <w:pStyle w:val="44"/>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25</w:t>
            </w:r>
          </w:p>
        </w:tc>
        <w:tc>
          <w:tcPr>
            <w:tcW w:w="806" w:type="pct"/>
            <w:shd w:val="clear" w:color="auto" w:fill="FFFFFF" w:themeFill="background1"/>
            <w:vAlign w:val="center"/>
          </w:tcPr>
          <w:p>
            <w:pPr>
              <w:pStyle w:val="12"/>
              <w:widowControl/>
              <w:kinsoku w:val="0"/>
              <w:autoSpaceDE w:val="0"/>
              <w:autoSpaceDN w:val="0"/>
              <w:adjustRightInd w:val="0"/>
              <w:snapToGrid w:val="0"/>
              <w:spacing w:before="40"/>
              <w:ind w:left="62" w:right="57"/>
              <w:rPr>
                <w:rFonts w:hint="eastAsia"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精益生产与管理基础</w:t>
            </w:r>
          </w:p>
        </w:tc>
        <w:tc>
          <w:tcPr>
            <w:tcW w:w="1206"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90"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安全管理；制造执行系统(MES)；精益生产实训走线；走进精益生产（精益生产基础知识）；精益质量管理。</w:t>
            </w:r>
          </w:p>
        </w:tc>
        <w:tc>
          <w:tcPr>
            <w:tcW w:w="1194" w:type="pct"/>
            <w:shd w:val="clear" w:color="auto" w:fill="FFFFFF" w:themeFill="background1"/>
            <w:vAlign w:val="center"/>
          </w:tcPr>
          <w:p>
            <w:pPr>
              <w:spacing w:before="40" w:line="240" w:lineRule="exact"/>
              <w:ind w:left="62" w:right="57"/>
              <w:rPr>
                <w:rFonts w:hint="eastAsia" w:ascii="仿宋_GB2312" w:hAnsi="仿宋_GB2312" w:eastAsia="仿宋_GB2312" w:cs="仿宋_GB2312"/>
                <w:szCs w:val="21"/>
              </w:rPr>
            </w:pPr>
            <w:r>
              <w:rPr>
                <w:rFonts w:hint="eastAsia" w:ascii="仿宋_GB2312" w:hAnsi="仿宋_GB2312" w:eastAsia="仿宋_GB2312" w:cs="仿宋_GB2312"/>
                <w:szCs w:val="21"/>
                <w:lang w:bidi="ar"/>
              </w:rPr>
              <w:t>1.教学形式：理实一体化；</w:t>
            </w:r>
          </w:p>
          <w:p>
            <w:pPr>
              <w:spacing w:before="40" w:line="240" w:lineRule="exact"/>
              <w:ind w:left="62" w:right="57"/>
              <w:rPr>
                <w:rFonts w:hint="eastAsia" w:ascii="仿宋_GB2312" w:hAnsi="仿宋_GB2312" w:eastAsia="仿宋_GB2312" w:cs="仿宋_GB2312"/>
                <w:szCs w:val="21"/>
              </w:rPr>
            </w:pPr>
            <w:r>
              <w:rPr>
                <w:rFonts w:hint="eastAsia" w:ascii="仿宋_GB2312" w:hAnsi="仿宋_GB2312" w:eastAsia="仿宋_GB2312" w:cs="仿宋_GB2312"/>
                <w:szCs w:val="21"/>
                <w:lang w:bidi="ar"/>
              </w:rPr>
              <w:t>2.教室要求：精益生产实训工厂；</w:t>
            </w:r>
          </w:p>
          <w:p>
            <w:pPr>
              <w:pStyle w:val="12"/>
              <w:widowControl/>
              <w:kinsoku w:val="0"/>
              <w:autoSpaceDE w:val="0"/>
              <w:autoSpaceDN w:val="0"/>
              <w:adjustRightInd w:val="0"/>
              <w:snapToGrid w:val="0"/>
              <w:spacing w:before="40" w:line="240" w:lineRule="exact"/>
              <w:ind w:left="62" w:right="57"/>
              <w:rPr>
                <w:rFonts w:hint="eastAsia" w:ascii="仿宋_GB2312" w:hAnsi="仿宋_GB2312" w:eastAsia="仿宋_GB2312" w:cs="仿宋_GB2312"/>
                <w:sz w:val="21"/>
                <w:szCs w:val="21"/>
              </w:rPr>
            </w:pPr>
            <w:r>
              <w:rPr>
                <w:rFonts w:hint="eastAsia" w:ascii="仿宋_GB2312" w:hAnsi="仿宋_GB2312" w:eastAsia="仿宋_GB2312" w:cs="仿宋_GB2312"/>
                <w:color w:val="000000"/>
                <w:kern w:val="0"/>
                <w:sz w:val="21"/>
                <w:szCs w:val="21"/>
                <w:lang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26</w:t>
            </w:r>
          </w:p>
        </w:tc>
        <w:tc>
          <w:tcPr>
            <w:tcW w:w="806" w:type="pct"/>
            <w:shd w:val="clear" w:color="auto" w:fill="FFFFFF" w:themeFill="background1"/>
            <w:vAlign w:val="center"/>
          </w:tcPr>
          <w:p>
            <w:pPr>
              <w:pStyle w:val="12"/>
              <w:widowControl/>
              <w:kinsoku w:val="0"/>
              <w:autoSpaceDE w:val="0"/>
              <w:autoSpaceDN w:val="0"/>
              <w:adjustRightInd w:val="0"/>
              <w:snapToGrid w:val="0"/>
              <w:spacing w:before="40"/>
              <w:ind w:left="62" w:right="57"/>
              <w:rPr>
                <w:rFonts w:hint="eastAsia"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信息技术</w:t>
            </w:r>
          </w:p>
        </w:tc>
        <w:tc>
          <w:tcPr>
            <w:tcW w:w="1206"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390"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包含文档处理、电子表格处理、演示文稿制作、信息检索、新一代信息技术概述、信息素养与社会责任六部分内容。</w:t>
            </w:r>
          </w:p>
        </w:tc>
        <w:tc>
          <w:tcPr>
            <w:tcW w:w="1194" w:type="pct"/>
            <w:shd w:val="clear" w:color="auto" w:fill="FFFFFF" w:themeFill="background1"/>
            <w:vAlign w:val="center"/>
          </w:tcPr>
          <w:p>
            <w:pPr>
              <w:pStyle w:val="12"/>
              <w:widowControl/>
              <w:kinsoku w:val="0"/>
              <w:autoSpaceDE w:val="0"/>
              <w:autoSpaceDN w:val="0"/>
              <w:adjustRightInd w:val="0"/>
              <w:snapToGrid w:val="0"/>
              <w:spacing w:before="40" w:line="240" w:lineRule="exact"/>
              <w:ind w:left="62"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1.教学形式：线上、线下混合式教学。</w:t>
            </w:r>
          </w:p>
          <w:p>
            <w:pPr>
              <w:pStyle w:val="12"/>
              <w:widowControl/>
              <w:kinsoku w:val="0"/>
              <w:autoSpaceDE w:val="0"/>
              <w:autoSpaceDN w:val="0"/>
              <w:adjustRightInd w:val="0"/>
              <w:snapToGrid w:val="0"/>
              <w:spacing w:before="40" w:line="240" w:lineRule="exact"/>
              <w:ind w:left="62"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2.考核要求：采用线上、线下全过程多元考核评价机制，课程成绩=线上部分（50%）+线下部分（50%）</w:t>
            </w:r>
          </w:p>
          <w:p>
            <w:pPr>
              <w:pStyle w:val="12"/>
              <w:widowControl/>
              <w:kinsoku w:val="0"/>
              <w:autoSpaceDE w:val="0"/>
              <w:autoSpaceDN w:val="0"/>
              <w:adjustRightInd w:val="0"/>
              <w:snapToGrid w:val="0"/>
              <w:spacing w:before="40" w:line="240" w:lineRule="exact"/>
              <w:ind w:left="62"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27</w:t>
            </w:r>
          </w:p>
        </w:tc>
        <w:tc>
          <w:tcPr>
            <w:tcW w:w="806" w:type="pct"/>
            <w:shd w:val="clear" w:color="auto" w:fill="FFFFFF" w:themeFill="background1"/>
            <w:vAlign w:val="center"/>
          </w:tcPr>
          <w:p>
            <w:pPr>
              <w:pStyle w:val="12"/>
              <w:widowControl/>
              <w:kinsoku w:val="0"/>
              <w:autoSpaceDE w:val="0"/>
              <w:autoSpaceDN w:val="0"/>
              <w:adjustRightInd w:val="0"/>
              <w:snapToGrid w:val="0"/>
              <w:spacing w:before="40"/>
              <w:ind w:left="62" w:right="57"/>
              <w:rPr>
                <w:rFonts w:hint="eastAsia" w:ascii="仿宋_GB2312" w:hAnsi="仿宋_GB2312" w:eastAsia="仿宋_GB2312" w:cs="仿宋_GB2312"/>
                <w:kern w:val="0"/>
                <w:sz w:val="21"/>
                <w:szCs w:val="21"/>
                <w:lang w:bidi="ar"/>
              </w:rPr>
            </w:pPr>
            <w:r>
              <w:rPr>
                <w:rFonts w:hint="eastAsia" w:ascii="仿宋_GB2312" w:hAnsi="仿宋_GB2312" w:eastAsia="仿宋_GB2312" w:cs="仿宋_GB2312"/>
                <w:sz w:val="21"/>
                <w:szCs w:val="21"/>
                <w:lang w:bidi="ar"/>
              </w:rPr>
              <w:t>艺术修养</w:t>
            </w:r>
          </w:p>
        </w:tc>
        <w:tc>
          <w:tcPr>
            <w:tcW w:w="1206"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390"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教学内容主要分为美的历程（艺术理论认知）、美的体验（艺术创作实践）、美的感悟（艺术作品鉴赏）三大模块：</w:t>
            </w:r>
          </w:p>
          <w:p>
            <w:pPr>
              <w:pStyle w:val="12"/>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美的历程-进行国内外艺术相关理论及现象的认知；</w:t>
            </w:r>
          </w:p>
          <w:p>
            <w:pPr>
              <w:pStyle w:val="12"/>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美的体验-参与融合地域文化特色的非遗创作体验；</w:t>
            </w:r>
          </w:p>
          <w:p>
            <w:pPr>
              <w:pStyle w:val="12"/>
              <w:widowControl/>
              <w:kinsoku w:val="0"/>
              <w:autoSpaceDE w:val="0"/>
              <w:autoSpaceDN w:val="0"/>
              <w:adjustRightInd w:val="0"/>
              <w:snapToGrid w:val="0"/>
              <w:spacing w:before="40" w:line="240" w:lineRule="exact"/>
              <w:ind w:right="57"/>
              <w:jc w:val="left"/>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美的感悟-对特定艺术作品进行鉴赏与表达，同时描述生活中的艺术。</w:t>
            </w:r>
          </w:p>
        </w:tc>
        <w:tc>
          <w:tcPr>
            <w:tcW w:w="1194" w:type="pct"/>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1.教学形式：混合式授课；</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2.教室要求：多媒体教室；</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rPr>
            </w:pPr>
            <w:r>
              <w:rPr>
                <w:rFonts w:hint="eastAsia" w:ascii="仿宋_GB2312" w:hAnsi="仿宋_GB2312" w:eastAsia="仿宋_GB2312" w:cs="仿宋_GB2312"/>
                <w:sz w:val="21"/>
                <w:szCs w:val="21"/>
                <w:lang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5" w:type="dxa"/>
            <w:shd w:val="clear" w:color="auto" w:fill="FFFFFF" w:themeFill="background1"/>
            <w:vAlign w:val="center"/>
          </w:tcPr>
          <w:p>
            <w:pPr>
              <w:widowControl/>
              <w:jc w:val="center"/>
              <w:textAlignment w:val="center"/>
              <w:rPr>
                <w:rFonts w:hint="eastAsia" w:ascii="仿宋_GB2312" w:hAnsi="仿宋_GB2312" w:eastAsia="仿宋_GB2312" w:cs="仿宋_GB2312"/>
                <w:kern w:val="0"/>
                <w:szCs w:val="21"/>
                <w:lang w:bidi="ar"/>
              </w:rPr>
            </w:pPr>
            <w:r>
              <w:rPr>
                <w:rFonts w:hint="eastAsia" w:ascii="仿宋_GB2312" w:hAnsi="仿宋_GB2312" w:cs="仿宋_GB2312"/>
                <w:color w:val="000000"/>
                <w:kern w:val="0"/>
                <w:szCs w:val="21"/>
                <w:lang w:bidi="ar"/>
              </w:rPr>
              <w:t>28</w:t>
            </w:r>
          </w:p>
        </w:tc>
        <w:tc>
          <w:tcPr>
            <w:tcW w:w="806" w:type="pct"/>
            <w:shd w:val="clear" w:color="auto" w:fill="FFFFFF" w:themeFill="background1"/>
            <w:vAlign w:val="center"/>
          </w:tcPr>
          <w:p>
            <w:pPr>
              <w:pStyle w:val="12"/>
              <w:widowControl/>
              <w:kinsoku w:val="0"/>
              <w:autoSpaceDE w:val="0"/>
              <w:autoSpaceDN w:val="0"/>
              <w:adjustRightInd w:val="0"/>
              <w:snapToGrid w:val="0"/>
              <w:spacing w:before="40"/>
              <w:ind w:left="62"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人工智能应用基础</w:t>
            </w:r>
          </w:p>
        </w:tc>
        <w:tc>
          <w:tcPr>
            <w:tcW w:w="2056" w:type="dxa"/>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369" w:type="dxa"/>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AI通识：人工智能基本概念、发展简史、技术三驾马车（数据、算法、算力）。</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核心技术：机器学习、计算机视觉、自然语言处理（NLP）、生成式AI（AIGC）的直观原理与产业案例。</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行业应用：结合柳州特色产业（汽车制造、螺蛳粉电商等）的AI+智能制造、新零售、大健康、智慧城市等场景分析。</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实践技能：零代码AI平台（如百度EasyDL）操作、提示词工程（Prompt Engineering）实战、数据素养基础。</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伦理思辨：AI偏见与隐私风险、深度伪造（Deepfake）应对、无人驾驶伦理困境等案例讨论。</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p>
        </w:tc>
        <w:tc>
          <w:tcPr>
            <w:tcW w:w="2035" w:type="dxa"/>
            <w:shd w:val="clear" w:color="auto" w:fill="FFFFFF" w:themeFill="background1"/>
            <w:vAlign w:val="center"/>
          </w:tcPr>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1.教学形式：线上线下混合式教学，配套案例实训。</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2.考核要求：全过程多元考核，课程成绩=线上互动（30%）+实践任务（40%）+伦理思辨报告（30%）。</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3.教室要求：计算机机房需满足1人1机，能访问AI工具平台（如Qwen、Midjourney、EasyDL、KIMI）。网络支持实时调用AI生成式工具，配备极域教辅软件及超星课程平台。</w:t>
            </w:r>
          </w:p>
          <w:p>
            <w:pPr>
              <w:pStyle w:val="12"/>
              <w:widowControl/>
              <w:kinsoku w:val="0"/>
              <w:autoSpaceDE w:val="0"/>
              <w:autoSpaceDN w:val="0"/>
              <w:adjustRightInd w:val="0"/>
              <w:snapToGrid w:val="0"/>
              <w:spacing w:before="40" w:line="240" w:lineRule="exact"/>
              <w:ind w:right="57"/>
              <w:rPr>
                <w:rFonts w:hint="eastAsia" w:ascii="仿宋_GB2312" w:hAnsi="仿宋_GB2312" w:eastAsia="仿宋_GB2312" w:cs="仿宋_GB2312"/>
                <w:sz w:val="21"/>
                <w:szCs w:val="21"/>
                <w:lang w:bidi="ar"/>
              </w:rPr>
            </w:pPr>
            <w:r>
              <w:rPr>
                <w:rFonts w:hint="eastAsia" w:ascii="仿宋_GB2312" w:hAnsi="仿宋_GB2312" w:eastAsia="仿宋_GB2312" w:cs="仿宋_GB2312"/>
                <w:sz w:val="21"/>
                <w:szCs w:val="21"/>
                <w:lang w:bidi="ar"/>
              </w:rPr>
              <w:t>4.资源配套：教材提供PPT、案例素材库。</w:t>
            </w:r>
          </w:p>
        </w:tc>
      </w:tr>
    </w:tbl>
    <w:p>
      <w:pPr>
        <w:pStyle w:val="6"/>
        <w:rPr>
          <w:rFonts w:hint="eastAsia" w:ascii="仿宋" w:hAnsi="仿宋" w:eastAsia="仿宋" w:cs="仿宋"/>
          <w:sz w:val="30"/>
          <w:szCs w:val="30"/>
        </w:rPr>
      </w:pPr>
      <w:r>
        <w:rPr>
          <w:rFonts w:hint="eastAsia" w:ascii="仿宋" w:hAnsi="仿宋" w:eastAsia="仿宋" w:cs="仿宋"/>
          <w:sz w:val="30"/>
          <w:szCs w:val="30"/>
        </w:rPr>
        <w:t>2.专业教育课程设置</w:t>
      </w:r>
    </w:p>
    <w:p>
      <w:pPr>
        <w:pStyle w:val="23"/>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（1）专业对应的职业/岗位分析</w:t>
      </w:r>
    </w:p>
    <w:p>
      <w:pPr>
        <w:pStyle w:val="23"/>
        <w:adjustRightInd w:val="0"/>
        <w:snapToGrid w:val="0"/>
        <w:spacing w:line="360" w:lineRule="auto"/>
        <w:ind w:firstLine="560"/>
        <w:rPr>
          <w:rFonts w:hint="eastAsia" w:ascii="仿宋" w:hAnsi="仿宋" w:eastAsia="仿宋" w:cs="仿宋"/>
          <w:sz w:val="30"/>
          <w:szCs w:val="30"/>
        </w:rPr>
      </w:pPr>
      <w:r>
        <w:rPr>
          <w:rFonts w:hint="eastAsia" w:ascii="仿宋" w:hAnsi="仿宋" w:eastAsia="仿宋" w:cs="仿宋"/>
          <w:sz w:val="28"/>
          <w:szCs w:val="28"/>
        </w:rPr>
        <w:t>见附件。</w:t>
      </w:r>
    </w:p>
    <w:p>
      <w:pPr>
        <w:pStyle w:val="23"/>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（2）主要设置的专业教育课程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对设置的专业课程进行简要描述，其中要有企业课程并进行标注。</w:t>
      </w:r>
    </w:p>
    <w:p>
      <w:pPr>
        <w:pStyle w:val="6"/>
        <w:jc w:val="center"/>
        <w:rPr>
          <w:rFonts w:hint="eastAsia" w:ascii="仿宋" w:hAnsi="仿宋" w:eastAsia="仿宋" w:cs="仿宋"/>
          <w:b/>
          <w:bCs/>
          <w:sz w:val="24"/>
          <w:szCs w:val="24"/>
        </w:rPr>
      </w:pPr>
      <w:r>
        <w:rPr>
          <w:rFonts w:hint="eastAsia" w:ascii="仿宋" w:hAnsi="仿宋" w:eastAsia="仿宋" w:cs="仿宋"/>
          <w:b/>
          <w:bCs/>
          <w:sz w:val="24"/>
          <w:szCs w:val="24"/>
        </w:rPr>
        <w:t>表 专业核心课程描述</w:t>
      </w:r>
    </w:p>
    <w:tbl>
      <w:tblPr>
        <w:tblStyle w:val="14"/>
        <w:tblW w:w="578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669"/>
        <w:gridCol w:w="3560"/>
        <w:gridCol w:w="2973"/>
        <w:gridCol w:w="21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tcBorders>
              <w:bottom w:val="single" w:color="auto" w:sz="4" w:space="0"/>
            </w:tcBorders>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669" w:type="dxa"/>
            <w:tcBorders>
              <w:bottom w:val="single" w:color="auto" w:sz="4" w:space="0"/>
            </w:tcBorders>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课程名称</w:t>
            </w:r>
          </w:p>
        </w:tc>
        <w:tc>
          <w:tcPr>
            <w:tcW w:w="3560" w:type="dxa"/>
            <w:tcBorders>
              <w:bottom w:val="single" w:color="auto" w:sz="4" w:space="0"/>
            </w:tcBorders>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课程目标</w:t>
            </w:r>
          </w:p>
        </w:tc>
        <w:tc>
          <w:tcPr>
            <w:tcW w:w="2973" w:type="dxa"/>
            <w:tcBorders>
              <w:bottom w:val="single" w:color="auto" w:sz="4" w:space="0"/>
            </w:tcBorders>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主要内容</w:t>
            </w:r>
          </w:p>
        </w:tc>
        <w:tc>
          <w:tcPr>
            <w:tcW w:w="2150" w:type="dxa"/>
            <w:tcBorders>
              <w:bottom w:val="single" w:color="auto" w:sz="4" w:space="0"/>
            </w:tcBorders>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tcBorders>
              <w:top w:val="single" w:color="auto" w:sz="4" w:space="0"/>
              <w:left w:val="single" w:color="auto" w:sz="4" w:space="0"/>
              <w:bottom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w:t>
            </w:r>
          </w:p>
        </w:tc>
        <w:tc>
          <w:tcPr>
            <w:tcW w:w="669" w:type="dxa"/>
            <w:tcBorders>
              <w:top w:val="single" w:color="auto" w:sz="4" w:space="0"/>
              <w:bottom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智能物流设施设备应用技术</w:t>
            </w:r>
          </w:p>
        </w:tc>
        <w:tc>
          <w:tcPr>
            <w:tcW w:w="3560" w:type="dxa"/>
            <w:tcBorders>
              <w:top w:val="single" w:color="auto" w:sz="4" w:space="0"/>
              <w:bottom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本课程旨在培养学生掌握智能物流设施设备（如无人物流车、AGV、无人叉车、仓储机器人等）的核心技术原理、典型应用场景与系统集成知识，具备设备选型评估、操作运行、路径规划与参数优化的实践能力，能够运用数据方法进行设备状态监控、基础维护与效能分析，并提出优化建议以提升物流系统效率与可靠性。</w:t>
            </w:r>
          </w:p>
        </w:tc>
        <w:tc>
          <w:tcPr>
            <w:tcW w:w="2973" w:type="dxa"/>
            <w:tcBorders>
              <w:top w:val="single" w:color="auto" w:sz="4" w:space="0"/>
              <w:bottom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涵盖智能物流技术发展趋势、核心设备（无人物流车/AGV/无人叉车/仓储机器人等）的工作原理、性能指标与应用场景分析；重点讲解设备选型配置方法、系统集成关键要素、控制系统操作与路径规划优化实践；教授基于传感器与IoT的设备状态监控、数据分析基础、技术化点检保养及GPS应用；并指导运用运行数据评估系统效能，提出配置优化与流程改进决策。</w:t>
            </w:r>
          </w:p>
        </w:tc>
        <w:tc>
          <w:tcPr>
            <w:tcW w:w="2150" w:type="dxa"/>
            <w:tcBorders>
              <w:top w:val="single" w:color="auto" w:sz="4" w:space="0"/>
              <w:bottom w:val="single" w:color="auto" w:sz="4" w:space="0"/>
              <w:right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1.教学形式:混合式授课;2.教室要求:机房+汽车工业智能物流基地;3.考核要求:平时成绩主要来源于学习通测试、上课表现、实训的操作三个部分，成绩占比50%；期末成绩则来源于方案编写和实操，成绩占比50%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tcBorders>
              <w:top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2</w:t>
            </w:r>
          </w:p>
        </w:tc>
        <w:tc>
          <w:tcPr>
            <w:tcW w:w="669" w:type="dxa"/>
            <w:tcBorders>
              <w:top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智慧仓储与配送管理</w:t>
            </w:r>
          </w:p>
        </w:tc>
        <w:tc>
          <w:tcPr>
            <w:tcW w:w="3560" w:type="dxa"/>
            <w:tcBorders>
              <w:top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通过本课程的学习，使学生不仅掌握仓配管理理论基础，还能熟练运用智能仓配相关知识，完成商品入库、库内和出库作业规划与布局，并具备仓配现场作业的组织、监控与持续优化能力；培养学生具备具有良好的智慧仓配运营管理思想，成为具有爱岗敬业、吃苦耐劳、诚实守信等良好职业素养的高素质仓配运营管理人才。</w:t>
            </w:r>
          </w:p>
        </w:tc>
        <w:tc>
          <w:tcPr>
            <w:tcW w:w="2973" w:type="dxa"/>
            <w:tcBorders>
              <w:top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课程主要的教学内容包括：仓配认知、智能仓储布局规划、仓储与配送作业规划、智能库存控制与优化、仓储与配送绩效管理与优化、仓储与配送系统规划综合实训等。</w:t>
            </w:r>
          </w:p>
        </w:tc>
        <w:tc>
          <w:tcPr>
            <w:tcW w:w="2150" w:type="dxa"/>
            <w:tcBorders>
              <w:top w:val="single" w:color="auto" w:sz="4" w:space="0"/>
            </w:tcBorders>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2.教室要求:机房+汽车工业智能物流基地;</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3.考核要求:职业素养15%，平时作业成绩 15%，子学习成果考核成绩 30%，期末测试成 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3</w:t>
            </w:r>
          </w:p>
        </w:tc>
        <w:tc>
          <w:tcPr>
            <w:tcW w:w="669"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智慧运输运营</w:t>
            </w:r>
          </w:p>
        </w:tc>
        <w:tc>
          <w:tcPr>
            <w:tcW w:w="356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通过学习本课程，能够掌握智慧运输运营业务的理论知识和技能；能够设计与规划合理的运输与配送线路，进行货物运输组织工作，完成各种运输费用的计算；能够制定运输计划，并熟练掌握车辆调度方法及运输运营业务流程。能够应用智能运输系统分析解决实际运输运营管理的问题。</w:t>
            </w:r>
          </w:p>
        </w:tc>
        <w:tc>
          <w:tcPr>
            <w:tcW w:w="2973"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课程主要内容包括：物流智慧运输运营认知、物流运输作业方式及业务管理、运输调度与计划、物流运输规划与决策、智慧运输组织与管理及智能运输技术应用等。</w:t>
            </w:r>
          </w:p>
        </w:tc>
        <w:tc>
          <w:tcPr>
            <w:tcW w:w="215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 xml:space="preserve"> 1.教学形式:混合式授课;</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2.教室要求:机房;</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3.考核要求:职业素养15%，平时作业成绩 15%，子学习成果考核成绩 30%，期末测试成 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4</w:t>
            </w:r>
          </w:p>
        </w:tc>
        <w:tc>
          <w:tcPr>
            <w:tcW w:w="669"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精益智能物流系统实务</w:t>
            </w:r>
          </w:p>
        </w:tc>
        <w:tc>
          <w:tcPr>
            <w:tcW w:w="356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能够进行汽车零部件物流配送作业的规划和管理；深入了解掌握工业企业零部件配送的流程，完成配送作业的操作及管理；能够进行配送作业信息采集整理、信息系统使用，掌握分析、整理配送商品、方式及路线信息的方法；能够灵活处理现场实际管理问题的能力。</w:t>
            </w:r>
          </w:p>
        </w:tc>
        <w:tc>
          <w:tcPr>
            <w:tcW w:w="2973"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课程主要内容包括：智能制造物流集配作业需求分析与集配作业计划制定；智能制造物流配送规划；制造物流集配作业物流系统实务训练，物流配送流程仿真与优化。</w:t>
            </w:r>
          </w:p>
        </w:tc>
        <w:tc>
          <w:tcPr>
            <w:tcW w:w="215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1.教学形式:混合式授课;2.教室要求:机房+汽车工业智能物流基地;3.考核要求:平时成绩主要来源于学习通测试、上课表现、实训操作三个部分，成绩占比60%；期末成绩来源于方案编写，成绩占比40%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5</w:t>
            </w:r>
          </w:p>
        </w:tc>
        <w:tc>
          <w:tcPr>
            <w:tcW w:w="669"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汽车工业物流规划设计</w:t>
            </w:r>
          </w:p>
        </w:tc>
        <w:tc>
          <w:tcPr>
            <w:tcW w:w="356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通过课程学习，使学生掌握汽车工业物流规划、精益物流管理及物流仿真技术的基本理论知识，完成物流系统分析、流程优化及仿真验证，从中识别物流规划的关键问题并提出优化方案，最终形成汽车工业物流规划设计方案。学习过程中注重培养学生精益思维、数据分析能力、团队协作能力和创新意识，使其具备汽车物流领域的职业素养。</w:t>
            </w:r>
          </w:p>
        </w:tc>
        <w:tc>
          <w:tcPr>
            <w:tcW w:w="2973"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课程主要内容包括：物流关关键要素EIQ分析、物料分类与存储、物流作业流程、物流智能化应用、设施布局与动线设计、建模与仿真、成本核算与绩效评估、物流规划方案评估与矫正。</w:t>
            </w:r>
          </w:p>
        </w:tc>
        <w:tc>
          <w:tcPr>
            <w:tcW w:w="215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1.教学形式:混合式授课;2.教室要求:机房+汽车工业智能物流基地;3.考核要求:职业素养15%，平时作业成绩 15%，平时测试成绩 30%，期末测试成绩40%。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6</w:t>
            </w:r>
          </w:p>
        </w:tc>
        <w:tc>
          <w:tcPr>
            <w:tcW w:w="669"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物流成本与绩效管理</w:t>
            </w:r>
          </w:p>
        </w:tc>
        <w:tc>
          <w:tcPr>
            <w:tcW w:w="356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掌握物流成本与绩效管理的基本理论原理，熟悉物流成本管理的多种方法，掌握物流成本的计算方法；能结合物流企业实际，通过物流成本核算，提出相应的成本管理、绩效提升建议，掌握物流作业成本法的具体实施办法。</w:t>
            </w:r>
          </w:p>
        </w:tc>
        <w:tc>
          <w:tcPr>
            <w:tcW w:w="2973"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课程主要内容包括：物流成本管理的理论、物流成本的核算方法、物流各环节的成本分析及管理、物流作业成本法的具体实施过程、物流成本控制的方法以及企业的物流成本综合分析与管理。</w:t>
            </w:r>
          </w:p>
        </w:tc>
        <w:tc>
          <w:tcPr>
            <w:tcW w:w="215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2.教室要求:机房;</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3.考核要求:职业素养15%，平时作业成绩 15%，子学习成果考核成绩 30%，期末测试成 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7</w:t>
            </w:r>
          </w:p>
        </w:tc>
        <w:tc>
          <w:tcPr>
            <w:tcW w:w="669"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数智供应链技术</w:t>
            </w:r>
          </w:p>
        </w:tc>
        <w:tc>
          <w:tcPr>
            <w:tcW w:w="356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系统掌握数智供应链的核心知识体系与技术应用场景，熟练运用关键技术（AI、大数据等）解决供应链运营（计划、采购、生产、物流）中的实际问题；理解并构建供应链智能化协同（设计、伙伴关系、信息共享）与管理，有效进行供应链风险识别、预警与绩效评估改进。</w:t>
            </w:r>
          </w:p>
        </w:tc>
        <w:tc>
          <w:tcPr>
            <w:tcW w:w="2973"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课程主要内容包括：供应链运营计划管理、数字化采购管理、智慧生产管理、智能化物流管理、供应链战略匹配与网络设计、供应链智能化协同、供应链风险与绩效管理</w:t>
            </w:r>
          </w:p>
        </w:tc>
        <w:tc>
          <w:tcPr>
            <w:tcW w:w="215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1.教学形式:混合式授课;</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2.教室要求:机房+供应链传奇教学系统+供应链建模与优化系统;</w:t>
            </w:r>
            <w:r>
              <w:rPr>
                <w:rFonts w:hint="eastAsia" w:ascii="仿宋_GB2312" w:hAnsi="仿宋_GB2312" w:eastAsia="仿宋_GB2312" w:cs="仿宋_GB2312"/>
                <w:color w:val="000000"/>
                <w:kern w:val="0"/>
                <w:sz w:val="21"/>
                <w:szCs w:val="21"/>
                <w:lang w:bidi="ar"/>
              </w:rPr>
              <w:br w:type="textWrapping"/>
            </w:r>
            <w:r>
              <w:rPr>
                <w:rFonts w:hint="eastAsia" w:ascii="仿宋_GB2312" w:hAnsi="仿宋_GB2312" w:eastAsia="仿宋_GB2312" w:cs="仿宋_GB2312"/>
                <w:color w:val="000000"/>
                <w:kern w:val="0"/>
                <w:sz w:val="21"/>
                <w:szCs w:val="21"/>
                <w:lang w:bidi="ar"/>
              </w:rPr>
              <w:t xml:space="preserve">3.考核要求:职业素养15%，平时作业成绩 15%，平时测试成绩 30%，期末测试成 绩40%。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96" w:type="dxa"/>
            <w:vAlign w:val="center"/>
          </w:tcPr>
          <w:p>
            <w:pPr>
              <w:widowControl/>
              <w:jc w:val="righ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8</w:t>
            </w:r>
          </w:p>
        </w:tc>
        <w:tc>
          <w:tcPr>
            <w:tcW w:w="669"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制造企业采购管理</w:t>
            </w:r>
          </w:p>
        </w:tc>
        <w:tc>
          <w:tcPr>
            <w:tcW w:w="3560"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通过本课程的学习，使学生系统掌握采购管理的基本理论、方法与实践技能；理解采购在现代供应链中的战略地位和核心作用；综合理解和应用采购组织和管理的技术与操作规程；掌握采购的计划预算、组织管理、质量控制、操作过程和技巧、风险控制与绩效评估等方面的基础知识；熟悉采购业务中的谈判和风险控制及绩效评估等方法。</w:t>
            </w:r>
          </w:p>
        </w:tc>
        <w:tc>
          <w:tcPr>
            <w:tcW w:w="2973" w:type="dxa"/>
            <w:vAlign w:val="center"/>
          </w:tcPr>
          <w:p>
            <w:pPr>
              <w:widowControl/>
              <w:jc w:val="left"/>
              <w:textAlignment w:val="center"/>
              <w:rPr>
                <w:rFonts w:hint="eastAsia" w:ascii="仿宋_GB2312" w:hAnsi="仿宋_GB2312" w:eastAsia="仿宋_GB2312" w:cs="仿宋_GB2312"/>
                <w:color w:val="000000"/>
                <w:kern w:val="0"/>
                <w:sz w:val="21"/>
                <w:szCs w:val="21"/>
                <w:lang w:bidi="ar"/>
              </w:rPr>
            </w:pPr>
            <w:r>
              <w:rPr>
                <w:rFonts w:hint="eastAsia" w:ascii="仿宋_GB2312" w:hAnsi="仿宋_GB2312" w:eastAsia="仿宋_GB2312" w:cs="仿宋_GB2312"/>
                <w:color w:val="000000"/>
                <w:kern w:val="0"/>
                <w:sz w:val="21"/>
                <w:szCs w:val="21"/>
                <w:lang w:bidi="ar"/>
              </w:rPr>
              <w:t>课程主要内容包括：采购管理的基本理论；采购战略规划与流程设计；供应商选择、评估与关系管理，涉及供应商认证、绩效评价及合作伙伴关系建立；采购成本控制方法，如 ABC 分类法、价值工程等；采购信息化技术应用与管理。</w:t>
            </w:r>
          </w:p>
        </w:tc>
        <w:tc>
          <w:tcPr>
            <w:tcW w:w="2150" w:type="dxa"/>
            <w:vAlign w:val="center"/>
          </w:tcPr>
          <w:p>
            <w:pPr>
              <w:widowControl/>
              <w:jc w:val="left"/>
              <w:textAlignment w:val="center"/>
              <w:rPr>
                <w:rFonts w:hint="eastAsia" w:ascii="仿宋_GB2312" w:hAnsi="仿宋_GB2312" w:eastAsia="仿宋_GB2312" w:cs="仿宋_GB2312"/>
                <w:color w:val="000000"/>
                <w:kern w:val="0"/>
                <w:sz w:val="20"/>
                <w:szCs w:val="20"/>
                <w:lang w:bidi="ar"/>
              </w:rPr>
            </w:pPr>
            <w:r>
              <w:rPr>
                <w:rFonts w:hint="eastAsia" w:ascii="仿宋_GB2312" w:hAnsi="仿宋_GB2312" w:eastAsia="仿宋_GB2312" w:cs="仿宋_GB2312"/>
                <w:color w:val="000000"/>
                <w:kern w:val="0"/>
                <w:sz w:val="20"/>
                <w:szCs w:val="20"/>
                <w:lang w:bidi="ar"/>
              </w:rPr>
              <w:t>1.教学形式:混合式授课;</w:t>
            </w:r>
            <w:r>
              <w:rPr>
                <w:rFonts w:hint="eastAsia" w:ascii="仿宋_GB2312" w:hAnsi="仿宋_GB2312" w:eastAsia="仿宋_GB2312" w:cs="仿宋_GB2312"/>
                <w:color w:val="000000"/>
                <w:kern w:val="0"/>
                <w:sz w:val="20"/>
                <w:szCs w:val="20"/>
                <w:lang w:bidi="ar"/>
              </w:rPr>
              <w:br w:type="textWrapping"/>
            </w:r>
            <w:r>
              <w:rPr>
                <w:rFonts w:hint="eastAsia" w:ascii="仿宋_GB2312" w:hAnsi="仿宋_GB2312" w:eastAsia="仿宋_GB2312" w:cs="仿宋_GB2312"/>
                <w:color w:val="000000"/>
                <w:kern w:val="0"/>
                <w:sz w:val="20"/>
                <w:szCs w:val="20"/>
                <w:lang w:bidi="ar"/>
              </w:rPr>
              <w:t>2.教室要求:机房;</w:t>
            </w:r>
            <w:r>
              <w:rPr>
                <w:rFonts w:hint="eastAsia" w:ascii="仿宋_GB2312" w:hAnsi="仿宋_GB2312" w:eastAsia="仿宋_GB2312" w:cs="仿宋_GB2312"/>
                <w:color w:val="000000"/>
                <w:kern w:val="0"/>
                <w:sz w:val="20"/>
                <w:szCs w:val="20"/>
                <w:lang w:bidi="ar"/>
              </w:rPr>
              <w:br w:type="textWrapping"/>
            </w:r>
            <w:r>
              <w:rPr>
                <w:rFonts w:hint="eastAsia" w:ascii="仿宋_GB2312" w:hAnsi="仿宋_GB2312" w:eastAsia="仿宋_GB2312" w:cs="仿宋_GB2312"/>
                <w:color w:val="000000"/>
                <w:kern w:val="0"/>
                <w:sz w:val="20"/>
                <w:szCs w:val="20"/>
                <w:lang w:bidi="ar"/>
              </w:rPr>
              <w:t>3.考核要求:平时成绩主要来源于学习通测试、上课表现、平时作业三个部分，成绩占比60%；期末成绩来源于方案编写，成绩占比40%。</w:t>
            </w:r>
          </w:p>
        </w:tc>
      </w:tr>
    </w:tbl>
    <w:p>
      <w:pPr>
        <w:pStyle w:val="6"/>
        <w:jc w:val="center"/>
        <w:rPr>
          <w:rFonts w:hint="eastAsia" w:ascii="仿宋" w:hAnsi="仿宋" w:eastAsia="仿宋" w:cs="仿宋"/>
          <w:b/>
          <w:bCs/>
          <w:sz w:val="24"/>
          <w:szCs w:val="24"/>
        </w:rPr>
      </w:pPr>
    </w:p>
    <w:p>
      <w:pPr>
        <w:pStyle w:val="6"/>
        <w:rPr>
          <w:rFonts w:hint="eastAsia" w:ascii="仿宋" w:hAnsi="仿宋" w:eastAsia="仿宋" w:cs="仿宋"/>
          <w:sz w:val="30"/>
          <w:szCs w:val="30"/>
        </w:rPr>
      </w:pPr>
      <w:r>
        <w:rPr>
          <w:rFonts w:hint="eastAsia" w:ascii="仿宋" w:hAnsi="仿宋" w:eastAsia="仿宋" w:cs="仿宋"/>
          <w:sz w:val="30"/>
          <w:szCs w:val="30"/>
        </w:rPr>
        <w:t>（3）综合实践课程</w:t>
      </w:r>
    </w:p>
    <w:p>
      <w:pPr>
        <w:pStyle w:val="23"/>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pPr>
        <w:adjustRightInd w:val="0"/>
        <w:snapToGrid w:val="0"/>
        <w:spacing w:line="360" w:lineRule="auto"/>
        <w:ind w:firstLine="560" w:firstLineChars="200"/>
        <w:jc w:val="left"/>
        <w:rPr>
          <w:rFonts w:hint="eastAsia" w:ascii="仿宋" w:hAnsi="仿宋" w:eastAsia="仿宋" w:cs="仿宋"/>
          <w:sz w:val="28"/>
          <w:szCs w:val="28"/>
        </w:rPr>
      </w:pPr>
      <w:r>
        <w:rPr>
          <w:rFonts w:hint="eastAsia" w:ascii="仿宋" w:hAnsi="仿宋" w:eastAsia="仿宋" w:cs="仿宋"/>
          <w:sz w:val="28"/>
          <w:szCs w:val="28"/>
        </w:rPr>
        <w:t xml:space="preserve">对接物流产业高端，聚焦工业供应链物流技术领域，以汽车工业物流为载体，为培养本科层次职业教育现代物流管理专业学生的物流与供应链管理技术、物流规划设计、物流建模仿真及智能物流设施设备应用等专业技术的应用能力，以“通用技术+专业技术+创研技术”为思路构建现代物流管理专业实践教学体系。培养能胜任物流领域的规划设计、现场管理及业务运营、技术应用优化等相关工作，有理想信念和工匠精神，掌握本专业较高的技术技能和工作方法，能处理较复杂问题的“德技兼备，情理双修”的高层次技术技能人才。具体实践教学体系图如图3-2。   </w:t>
      </w:r>
      <w:r>
        <w:rPr>
          <w:rFonts w:hint="eastAsia" w:ascii="仿宋" w:hAnsi="仿宋" w:eastAsia="仿宋" w:cs="仿宋"/>
          <w:sz w:val="28"/>
          <w:szCs w:val="28"/>
        </w:rPr>
        <w:drawing>
          <wp:inline distT="0" distB="0" distL="114300" distR="114300">
            <wp:extent cx="5263515" cy="3290570"/>
            <wp:effectExtent l="0" t="0" r="3810" b="5080"/>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11"/>
                    <a:stretch>
                      <a:fillRect/>
                    </a:stretch>
                  </pic:blipFill>
                  <pic:spPr>
                    <a:xfrm>
                      <a:off x="0" y="0"/>
                      <a:ext cx="5263515" cy="3290570"/>
                    </a:xfrm>
                    <a:prstGeom prst="rect">
                      <a:avLst/>
                    </a:prstGeom>
                  </pic:spPr>
                </pic:pic>
              </a:graphicData>
            </a:graphic>
          </wp:inline>
        </w:drawing>
      </w:r>
    </w:p>
    <w:p>
      <w:pPr>
        <w:ind w:firstLine="482"/>
        <w:jc w:val="center"/>
        <w:rPr>
          <w:b/>
          <w:sz w:val="24"/>
        </w:rPr>
      </w:pPr>
      <w:r>
        <w:rPr>
          <w:rFonts w:hint="eastAsia"/>
          <w:b/>
          <w:sz w:val="24"/>
        </w:rPr>
        <w:t>图</w:t>
      </w:r>
      <w:r>
        <w:rPr>
          <w:b/>
          <w:sz w:val="24"/>
        </w:rPr>
        <w:t>3-2</w:t>
      </w:r>
      <w:r>
        <w:rPr>
          <w:rFonts w:hint="eastAsia"/>
          <w:b/>
          <w:sz w:val="24"/>
        </w:rPr>
        <w:t>实践教学体系</w:t>
      </w:r>
    </w:p>
    <w:p>
      <w:pPr>
        <w:pStyle w:val="23"/>
        <w:adjustRightInd w:val="0"/>
        <w:snapToGrid w:val="0"/>
        <w:spacing w:line="360" w:lineRule="auto"/>
        <w:ind w:firstLine="560"/>
        <w:rPr>
          <w:rFonts w:hint="eastAsia" w:ascii="仿宋" w:hAnsi="仿宋" w:eastAsia="仿宋" w:cs="仿宋"/>
          <w:sz w:val="28"/>
          <w:szCs w:val="28"/>
        </w:rPr>
      </w:pP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②综合实践课程</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主要包括实训、课程设计、实习、毕业设计等。要有在企业实践环节的安排。</w:t>
      </w:r>
    </w:p>
    <w:p>
      <w:pPr>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a.实训安排</w:t>
      </w:r>
    </w:p>
    <w:tbl>
      <w:tblPr>
        <w:tblStyle w:val="15"/>
        <w:tblW w:w="511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2"/>
        <w:gridCol w:w="1943"/>
        <w:gridCol w:w="861"/>
        <w:gridCol w:w="2147"/>
        <w:gridCol w:w="1850"/>
        <w:gridCol w:w="1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288"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115"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实训环节</w:t>
            </w:r>
          </w:p>
        </w:tc>
        <w:tc>
          <w:tcPr>
            <w:tcW w:w="494"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1232"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1061"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依托课程</w:t>
            </w:r>
          </w:p>
        </w:tc>
        <w:tc>
          <w:tcPr>
            <w:tcW w:w="808"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1</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汽车零部件集配作业规划方案</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2</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规划方案</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汽车零部件集配</w:t>
            </w:r>
            <w:r>
              <w:rPr>
                <w:rFonts w:hint="eastAsia" w:ascii="仿宋_GB2312" w:hAnsi="宋体" w:eastAsia="仿宋_GB2312" w:cs="仿宋_GB2312"/>
                <w:color w:val="000000"/>
                <w:kern w:val="0"/>
                <w:sz w:val="24"/>
                <w:lang w:bidi="ar"/>
              </w:rPr>
              <w:t>作业</w:t>
            </w:r>
            <w:r>
              <w:rPr>
                <w:rFonts w:ascii="仿宋_GB2312" w:hAnsi="宋体" w:eastAsia="仿宋_GB2312" w:cs="仿宋_GB2312"/>
                <w:color w:val="000000"/>
                <w:kern w:val="0"/>
                <w:sz w:val="24"/>
                <w:lang w:bidi="ar"/>
              </w:rPr>
              <w:t>管理</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上汽通用五菱汽车股份有限公司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2</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CAD建模</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3</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物流布局图</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汽车工业物流规划设计</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柳州五菱柳机动力有限公司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3</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配送中心布局规划</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2</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规划方案</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智慧仓储与配送管理</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上汽通用五菱汽车股份有限公司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4</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物流成本核算方案</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6</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规划方案</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物流成本与绩效管理</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上汽通用五菱汽车股份有限公司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5</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采购计划方案编制</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3</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规划方案</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制造企业采购管理</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上汽通用五菱汽车股份有限公司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6</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低空物流综合运营方案</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6</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规划方案</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低空物流运营管理</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丰翼科技有限公司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7</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供应链仿真运营</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4</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仿真运营报告</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数智供应链技术</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丰豪物流</w:t>
            </w:r>
            <w:r>
              <w:rPr>
                <w:rFonts w:ascii="仿宋_GB2312" w:hAnsi="宋体" w:eastAsia="仿宋_GB2312" w:cs="仿宋_GB2312"/>
                <w:color w:val="000000"/>
                <w:kern w:val="0"/>
                <w:sz w:val="24"/>
                <w:lang w:bidi="ar"/>
              </w:rPr>
              <w:t>有限公司</w:t>
            </w:r>
            <w:r>
              <w:rPr>
                <w:rFonts w:hint="eastAsia" w:ascii="仿宋_GB2312" w:hAnsi="宋体" w:eastAsia="仿宋_GB2312" w:cs="仿宋_GB2312"/>
                <w:color w:val="000000"/>
                <w:kern w:val="0"/>
                <w:sz w:val="24"/>
                <w:lang w:bidi="ar"/>
              </w:rPr>
              <w:t>（北京分公司）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288" w:type="pct"/>
            <w:vAlign w:val="center"/>
          </w:tcPr>
          <w:p>
            <w:pPr>
              <w:adjustRightInd w:val="0"/>
              <w:snapToGrid w:val="0"/>
              <w:spacing w:line="596" w:lineRule="exact"/>
              <w:jc w:val="left"/>
              <w:rPr>
                <w:rFonts w:hint="eastAsia" w:ascii="仿宋_GB2312" w:hAnsi="仿宋_GB2312" w:eastAsia="仿宋_GB2312" w:cs="仿宋_GB2312"/>
                <w:sz w:val="24"/>
              </w:rPr>
            </w:pPr>
            <w:r>
              <w:rPr>
                <w:rFonts w:hint="eastAsia" w:ascii="仿宋_GB2312" w:hAnsi="仿宋_GB2312" w:eastAsia="仿宋_GB2312" w:cs="仿宋_GB2312"/>
                <w:sz w:val="24"/>
              </w:rPr>
              <w:t>8</w:t>
            </w:r>
          </w:p>
        </w:tc>
        <w:tc>
          <w:tcPr>
            <w:tcW w:w="1115"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运输路线规划方案</w:t>
            </w:r>
          </w:p>
        </w:tc>
        <w:tc>
          <w:tcPr>
            <w:tcW w:w="494" w:type="pct"/>
            <w:vAlign w:val="center"/>
          </w:tcPr>
          <w:p>
            <w:pPr>
              <w:widowControl/>
              <w:textAlignment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3</w:t>
            </w:r>
          </w:p>
        </w:tc>
        <w:tc>
          <w:tcPr>
            <w:tcW w:w="1232"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规划方案</w:t>
            </w:r>
          </w:p>
        </w:tc>
        <w:tc>
          <w:tcPr>
            <w:tcW w:w="1061"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智慧运输运营</w:t>
            </w:r>
          </w:p>
        </w:tc>
        <w:tc>
          <w:tcPr>
            <w:tcW w:w="808" w:type="pct"/>
            <w:vAlign w:val="center"/>
          </w:tcPr>
          <w:p>
            <w:pPr>
              <w:widowControl/>
              <w:textAlignment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普天物流技术有限公司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2" w:type="dxa"/>
            <w:vAlign w:val="center"/>
          </w:tcPr>
          <w:p>
            <w:pPr>
              <w:adjustRightInd w:val="0"/>
              <w:snapToGrid w:val="0"/>
              <w:rPr>
                <w:rFonts w:hint="eastAsia" w:ascii="仿宋_GB2312" w:hAnsi="仿宋_GB2312" w:eastAsia="仿宋_GB2312" w:cs="仿宋_GB2312"/>
                <w:sz w:val="24"/>
              </w:rPr>
            </w:pPr>
            <w:r>
              <w:rPr>
                <w:rFonts w:hint="eastAsia" w:ascii="仿宋_GB2312" w:hAnsi="仿宋_GB2312" w:eastAsia="仿宋_GB2312" w:cs="仿宋_GB2312"/>
                <w:sz w:val="24"/>
              </w:rPr>
              <w:t>9</w:t>
            </w:r>
          </w:p>
        </w:tc>
        <w:tc>
          <w:tcPr>
            <w:tcW w:w="1943" w:type="dxa"/>
            <w:vAlign w:val="center"/>
          </w:tcPr>
          <w:p>
            <w:pPr>
              <w:adjustRightInd w:val="0"/>
              <w:snapToGrid w:val="0"/>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综合实践</w:t>
            </w:r>
          </w:p>
        </w:tc>
        <w:tc>
          <w:tcPr>
            <w:tcW w:w="861" w:type="dxa"/>
            <w:vAlign w:val="center"/>
          </w:tcPr>
          <w:p>
            <w:pPr>
              <w:pStyle w:val="23"/>
              <w:ind w:firstLine="0" w:firstLineChars="0"/>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7/8</w:t>
            </w:r>
          </w:p>
          <w:p>
            <w:pPr>
              <w:adjustRightInd w:val="0"/>
              <w:snapToGrid w:val="0"/>
              <w:rPr>
                <w:rFonts w:hint="eastAsia" w:ascii="仿宋_GB2312" w:hAnsi="宋体" w:eastAsia="仿宋_GB2312" w:cs="仿宋_GB2312"/>
                <w:color w:val="000000"/>
                <w:kern w:val="0"/>
                <w:sz w:val="24"/>
                <w:lang w:bidi="ar"/>
              </w:rPr>
            </w:pPr>
          </w:p>
        </w:tc>
        <w:tc>
          <w:tcPr>
            <w:tcW w:w="2147" w:type="dxa"/>
            <w:vAlign w:val="center"/>
          </w:tcPr>
          <w:p>
            <w:pPr>
              <w:adjustRightInd w:val="0"/>
              <w:snapToGrid w:val="0"/>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实习总结+职业素质活动展示+企业鉴定</w:t>
            </w:r>
          </w:p>
        </w:tc>
        <w:tc>
          <w:tcPr>
            <w:tcW w:w="1850" w:type="dxa"/>
            <w:vAlign w:val="center"/>
          </w:tcPr>
          <w:p>
            <w:pPr>
              <w:adjustRightInd w:val="0"/>
              <w:snapToGrid w:val="0"/>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综合实践、岗位实习</w:t>
            </w:r>
          </w:p>
        </w:tc>
        <w:tc>
          <w:tcPr>
            <w:tcW w:w="1409" w:type="dxa"/>
            <w:vAlign w:val="center"/>
          </w:tcPr>
          <w:p>
            <w:pPr>
              <w:adjustRightInd w:val="0"/>
              <w:snapToGrid w:val="0"/>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广西汽车集团、上汽通用五菱、普天物流等</w:t>
            </w:r>
          </w:p>
        </w:tc>
      </w:tr>
    </w:tbl>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b.课程设计</w:t>
      </w:r>
    </w:p>
    <w:tbl>
      <w:tblPr>
        <w:tblStyle w:val="15"/>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
        <w:gridCol w:w="1895"/>
        <w:gridCol w:w="996"/>
        <w:gridCol w:w="1593"/>
        <w:gridCol w:w="1598"/>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1"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107"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课程设计名称</w:t>
            </w:r>
          </w:p>
        </w:tc>
        <w:tc>
          <w:tcPr>
            <w:tcW w:w="582"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学期</w:t>
            </w:r>
          </w:p>
        </w:tc>
        <w:tc>
          <w:tcPr>
            <w:tcW w:w="931"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产出/成果</w:t>
            </w:r>
          </w:p>
        </w:tc>
        <w:tc>
          <w:tcPr>
            <w:tcW w:w="934"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依托专业课程</w:t>
            </w:r>
          </w:p>
        </w:tc>
        <w:tc>
          <w:tcPr>
            <w:tcW w:w="935" w:type="pct"/>
            <w:vAlign w:val="center"/>
          </w:tcPr>
          <w:p>
            <w:pPr>
              <w:jc w:val="center"/>
              <w:rPr>
                <w:rFonts w:hint="eastAsia" w:ascii="仿宋_GB2312" w:hAnsi="仿宋_GB2312" w:eastAsia="仿宋_GB2312" w:cs="仿宋_GB2312"/>
                <w:b/>
                <w:bCs/>
                <w:sz w:val="24"/>
              </w:rPr>
            </w:pPr>
            <w:r>
              <w:rPr>
                <w:rFonts w:hint="eastAsia" w:ascii="仿宋_GB2312" w:hAnsi="仿宋_GB2312" w:eastAsia="仿宋_GB2312" w:cs="仿宋_GB2312"/>
                <w:b/>
                <w:bCs/>
                <w:sz w:val="24"/>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1" w:type="pct"/>
            <w:vAlign w:val="center"/>
          </w:tcPr>
          <w:p>
            <w:pPr>
              <w:adjustRightInd w:val="0"/>
              <w:snapToGrid w:val="0"/>
              <w:jc w:val="center"/>
              <w:rPr>
                <w:rFonts w:hint="eastAsia"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1</w:t>
            </w:r>
          </w:p>
        </w:tc>
        <w:tc>
          <w:tcPr>
            <w:tcW w:w="1107"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课程设计1：物流综合作业方案设计</w:t>
            </w:r>
          </w:p>
        </w:tc>
        <w:tc>
          <w:tcPr>
            <w:tcW w:w="582"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2</w:t>
            </w:r>
          </w:p>
        </w:tc>
        <w:tc>
          <w:tcPr>
            <w:tcW w:w="931"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物流综合作业方案</w:t>
            </w:r>
          </w:p>
        </w:tc>
        <w:tc>
          <w:tcPr>
            <w:tcW w:w="934"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智慧仓储与配送管理、智慧运输运营、汽车零部件集配</w:t>
            </w:r>
            <w:r>
              <w:rPr>
                <w:rFonts w:hint="eastAsia" w:ascii="仿宋_GB2312" w:hAnsi="宋体" w:eastAsia="仿宋_GB2312" w:cs="仿宋_GB2312"/>
                <w:color w:val="000000"/>
                <w:kern w:val="0"/>
                <w:sz w:val="24"/>
                <w:lang w:bidi="ar"/>
              </w:rPr>
              <w:t>作业</w:t>
            </w:r>
            <w:r>
              <w:rPr>
                <w:rFonts w:ascii="仿宋_GB2312" w:hAnsi="宋体" w:eastAsia="仿宋_GB2312" w:cs="仿宋_GB2312"/>
                <w:color w:val="000000"/>
                <w:kern w:val="0"/>
                <w:sz w:val="24"/>
                <w:lang w:bidi="ar"/>
              </w:rPr>
              <w:t>管理</w:t>
            </w:r>
          </w:p>
        </w:tc>
        <w:tc>
          <w:tcPr>
            <w:tcW w:w="935"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上汽通用五菱汽车股份有限公司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511" w:type="pct"/>
            <w:vAlign w:val="center"/>
          </w:tcPr>
          <w:p>
            <w:pPr>
              <w:adjustRightInd w:val="0"/>
              <w:snapToGrid w:val="0"/>
              <w:jc w:val="center"/>
              <w:rPr>
                <w:rFonts w:hint="eastAsia"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2</w:t>
            </w:r>
          </w:p>
        </w:tc>
        <w:tc>
          <w:tcPr>
            <w:tcW w:w="1107"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课程设计</w:t>
            </w:r>
            <w:r>
              <w:rPr>
                <w:rFonts w:hint="eastAsia" w:ascii="仿宋_GB2312" w:hAnsi="宋体" w:eastAsia="仿宋_GB2312" w:cs="仿宋_GB2312"/>
                <w:color w:val="000000"/>
                <w:kern w:val="0"/>
                <w:sz w:val="24"/>
                <w:lang w:bidi="ar"/>
              </w:rPr>
              <w:t>2</w:t>
            </w:r>
            <w:r>
              <w:rPr>
                <w:rFonts w:ascii="仿宋_GB2312" w:hAnsi="宋体" w:eastAsia="仿宋_GB2312" w:cs="仿宋_GB2312"/>
                <w:color w:val="000000"/>
                <w:kern w:val="0"/>
                <w:sz w:val="24"/>
                <w:lang w:bidi="ar"/>
              </w:rPr>
              <w:t>：汽车智能物流规划设计与评估</w:t>
            </w:r>
          </w:p>
        </w:tc>
        <w:tc>
          <w:tcPr>
            <w:tcW w:w="582"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3</w:t>
            </w:r>
          </w:p>
        </w:tc>
        <w:tc>
          <w:tcPr>
            <w:tcW w:w="931"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智慧物流系统设计方案；</w:t>
            </w:r>
            <w:r>
              <w:rPr>
                <w:rFonts w:ascii="仿宋_GB2312" w:hAnsi="宋体" w:eastAsia="仿宋_GB2312" w:cs="仿宋_GB2312"/>
                <w:color w:val="000000"/>
                <w:kern w:val="0"/>
                <w:sz w:val="24"/>
                <w:lang w:bidi="ar"/>
              </w:rPr>
              <w:br w:type="textWrapping"/>
            </w:r>
            <w:r>
              <w:rPr>
                <w:rFonts w:ascii="仿宋_GB2312" w:hAnsi="宋体" w:eastAsia="仿宋_GB2312" w:cs="仿宋_GB2312"/>
                <w:color w:val="000000"/>
                <w:kern w:val="0"/>
                <w:sz w:val="24"/>
                <w:lang w:bidi="ar"/>
              </w:rPr>
              <w:t>智慧物流系统评估报告</w:t>
            </w:r>
          </w:p>
        </w:tc>
        <w:tc>
          <w:tcPr>
            <w:tcW w:w="934"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汽车工业物流规划设计</w:t>
            </w:r>
          </w:p>
        </w:tc>
        <w:tc>
          <w:tcPr>
            <w:tcW w:w="935"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柳州五菱柳机动力有限公司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511" w:type="pct"/>
            <w:vAlign w:val="center"/>
          </w:tcPr>
          <w:p>
            <w:pPr>
              <w:adjustRightInd w:val="0"/>
              <w:snapToGrid w:val="0"/>
              <w:jc w:val="center"/>
              <w:rPr>
                <w:rFonts w:hint="eastAsia"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3</w:t>
            </w:r>
          </w:p>
        </w:tc>
        <w:tc>
          <w:tcPr>
            <w:tcW w:w="1107"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课程设计</w:t>
            </w:r>
            <w:r>
              <w:rPr>
                <w:rFonts w:hint="eastAsia" w:ascii="仿宋_GB2312" w:hAnsi="宋体" w:eastAsia="仿宋_GB2312" w:cs="仿宋_GB2312"/>
                <w:color w:val="000000"/>
                <w:kern w:val="0"/>
                <w:sz w:val="24"/>
                <w:lang w:bidi="ar"/>
              </w:rPr>
              <w:t>3</w:t>
            </w:r>
            <w:r>
              <w:rPr>
                <w:rFonts w:ascii="仿宋_GB2312" w:hAnsi="宋体" w:eastAsia="仿宋_GB2312" w:cs="仿宋_GB2312"/>
                <w:color w:val="000000"/>
                <w:kern w:val="0"/>
                <w:sz w:val="24"/>
                <w:lang w:bidi="ar"/>
              </w:rPr>
              <w:t>：供应链建模与网络优化</w:t>
            </w:r>
          </w:p>
        </w:tc>
        <w:tc>
          <w:tcPr>
            <w:tcW w:w="582"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4</w:t>
            </w:r>
          </w:p>
        </w:tc>
        <w:tc>
          <w:tcPr>
            <w:tcW w:w="931"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供应链网络优化方案</w:t>
            </w:r>
          </w:p>
        </w:tc>
        <w:tc>
          <w:tcPr>
            <w:tcW w:w="934"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数智供应链技术</w:t>
            </w:r>
          </w:p>
        </w:tc>
        <w:tc>
          <w:tcPr>
            <w:tcW w:w="935"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丰豪物流</w:t>
            </w:r>
            <w:r>
              <w:rPr>
                <w:rFonts w:ascii="仿宋_GB2312" w:hAnsi="宋体" w:eastAsia="仿宋_GB2312" w:cs="仿宋_GB2312"/>
                <w:color w:val="000000"/>
                <w:kern w:val="0"/>
                <w:sz w:val="24"/>
                <w:lang w:bidi="ar"/>
              </w:rPr>
              <w:t>有限公司</w:t>
            </w:r>
            <w:r>
              <w:rPr>
                <w:rFonts w:hint="eastAsia" w:ascii="仿宋_GB2312" w:hAnsi="宋体" w:eastAsia="仿宋_GB2312" w:cs="仿宋_GB2312"/>
                <w:color w:val="000000"/>
                <w:kern w:val="0"/>
                <w:sz w:val="24"/>
                <w:lang w:bidi="ar"/>
              </w:rPr>
              <w:t>（北京分公司）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511" w:type="pct"/>
            <w:vAlign w:val="center"/>
          </w:tcPr>
          <w:p>
            <w:pPr>
              <w:adjustRightInd w:val="0"/>
              <w:snapToGrid w:val="0"/>
              <w:jc w:val="center"/>
              <w:rPr>
                <w:rFonts w:hint="eastAsia" w:ascii="仿宋_GB2312" w:hAnsi="仿宋_GB2312" w:eastAsia="仿宋_GB2312" w:cs="仿宋_GB2312"/>
                <w:sz w:val="24"/>
                <w:shd w:val="clear" w:color="auto" w:fill="FFFFFF"/>
              </w:rPr>
            </w:pPr>
            <w:r>
              <w:rPr>
                <w:rFonts w:hint="eastAsia" w:ascii="仿宋_GB2312" w:hAnsi="仿宋_GB2312" w:eastAsia="仿宋_GB2312" w:cs="仿宋_GB2312"/>
                <w:sz w:val="24"/>
                <w:shd w:val="clear" w:color="auto" w:fill="FFFFFF"/>
              </w:rPr>
              <w:t>4</w:t>
            </w:r>
          </w:p>
        </w:tc>
        <w:tc>
          <w:tcPr>
            <w:tcW w:w="1107" w:type="pct"/>
          </w:tcPr>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课程设计4：智能物流设施设备应用技术</w:t>
            </w:r>
          </w:p>
        </w:tc>
        <w:tc>
          <w:tcPr>
            <w:tcW w:w="582" w:type="pct"/>
          </w:tcPr>
          <w:p>
            <w:pPr>
              <w:adjustRightInd w:val="0"/>
              <w:snapToGrid w:val="0"/>
              <w:jc w:val="center"/>
              <w:rPr>
                <w:rFonts w:hint="eastAsia" w:ascii="仿宋_GB2312" w:hAnsi="宋体" w:eastAsia="仿宋_GB2312" w:cs="仿宋_GB2312"/>
                <w:color w:val="000000"/>
                <w:kern w:val="0"/>
                <w:sz w:val="24"/>
                <w:lang w:bidi="ar"/>
              </w:rPr>
            </w:pPr>
          </w:p>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5</w:t>
            </w:r>
          </w:p>
        </w:tc>
        <w:tc>
          <w:tcPr>
            <w:tcW w:w="931" w:type="pct"/>
          </w:tcPr>
          <w:p>
            <w:pPr>
              <w:adjustRightInd w:val="0"/>
              <w:snapToGrid w:val="0"/>
              <w:jc w:val="center"/>
              <w:rPr>
                <w:rFonts w:hint="eastAsia" w:ascii="仿宋_GB2312" w:hAnsi="宋体" w:eastAsia="仿宋_GB2312" w:cs="仿宋_GB2312"/>
                <w:color w:val="000000"/>
                <w:kern w:val="0"/>
                <w:sz w:val="24"/>
                <w:lang w:bidi="ar"/>
              </w:rPr>
            </w:pPr>
            <w:r>
              <w:rPr>
                <w:rFonts w:hint="eastAsia" w:ascii="仿宋_GB2312" w:hAnsi="宋体" w:eastAsia="仿宋_GB2312" w:cs="仿宋_GB2312"/>
                <w:color w:val="000000"/>
                <w:kern w:val="0"/>
                <w:sz w:val="24"/>
                <w:lang w:bidi="ar"/>
              </w:rPr>
              <w:t>智能物流设备联动报告</w:t>
            </w:r>
          </w:p>
        </w:tc>
        <w:tc>
          <w:tcPr>
            <w:tcW w:w="934"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智能物流设施设备应用技术</w:t>
            </w:r>
          </w:p>
        </w:tc>
        <w:tc>
          <w:tcPr>
            <w:tcW w:w="935" w:type="pct"/>
            <w:vAlign w:val="center"/>
          </w:tcPr>
          <w:p>
            <w:pPr>
              <w:adjustRightInd w:val="0"/>
              <w:snapToGrid w:val="0"/>
              <w:jc w:val="center"/>
              <w:rPr>
                <w:rFonts w:hint="eastAsia" w:ascii="仿宋_GB2312" w:hAnsi="宋体" w:eastAsia="仿宋_GB2312" w:cs="仿宋_GB2312"/>
                <w:color w:val="000000"/>
                <w:kern w:val="0"/>
                <w:sz w:val="24"/>
                <w:lang w:bidi="ar"/>
              </w:rPr>
            </w:pPr>
            <w:r>
              <w:rPr>
                <w:rFonts w:ascii="仿宋_GB2312" w:hAnsi="宋体" w:eastAsia="仿宋_GB2312" w:cs="仿宋_GB2312"/>
                <w:color w:val="000000"/>
                <w:kern w:val="0"/>
                <w:sz w:val="24"/>
                <w:lang w:bidi="ar"/>
              </w:rPr>
              <w:t>上汽通用五菱汽车股份有限公司</w:t>
            </w:r>
          </w:p>
        </w:tc>
      </w:tr>
    </w:tbl>
    <w:p>
      <w:pPr>
        <w:pStyle w:val="6"/>
        <w:rPr>
          <w:rFonts w:hint="eastAsia" w:ascii="仿宋" w:hAnsi="仿宋" w:eastAsia="仿宋" w:cs="仿宋"/>
          <w:sz w:val="30"/>
          <w:szCs w:val="30"/>
        </w:rPr>
      </w:pPr>
      <w:r>
        <w:rPr>
          <w:rFonts w:hint="eastAsia" w:ascii="仿宋" w:hAnsi="仿宋" w:eastAsia="仿宋" w:cs="仿宋"/>
          <w:sz w:val="30"/>
          <w:szCs w:val="30"/>
        </w:rPr>
        <w:t>3.学生竞赛及第二课堂活动</w:t>
      </w:r>
    </w:p>
    <w:p>
      <w:pPr>
        <w:adjustRightInd w:val="0"/>
        <w:snapToGrid w:val="0"/>
        <w:spacing w:line="360" w:lineRule="auto"/>
        <w:ind w:firstLine="560" w:firstLineChars="200"/>
        <w:rPr>
          <w:rFonts w:hint="eastAsia" w:ascii="仿宋" w:hAnsi="仿宋" w:eastAsia="仿宋" w:cs="仿宋"/>
          <w:sz w:val="30"/>
          <w:szCs w:val="30"/>
        </w:rPr>
      </w:pPr>
      <w:r>
        <w:rPr>
          <w:rFonts w:hint="eastAsia" w:ascii="仿宋" w:hAnsi="仿宋" w:eastAsia="仿宋" w:cs="仿宋"/>
          <w:sz w:val="28"/>
          <w:szCs w:val="28"/>
        </w:rPr>
        <w:t>每个专业根据学科专业的特点，在不同的年级设计安排不同的学生竞赛及第二课堂活动。具体安排见第二课堂活动安排表。</w:t>
      </w:r>
    </w:p>
    <w:p>
      <w:pPr>
        <w:pStyle w:val="3"/>
        <w:spacing w:before="40" w:after="40" w:line="360" w:lineRule="auto"/>
        <w:ind w:firstLine="602" w:firstLineChars="200"/>
        <w:rPr>
          <w:rFonts w:hint="eastAsia" w:ascii="黑体" w:hAnsi="黑体" w:eastAsia="黑体" w:cs="黑体"/>
          <w:sz w:val="30"/>
          <w:szCs w:val="30"/>
        </w:rPr>
      </w:pPr>
      <w:bookmarkStart w:id="14" w:name="_Toc27181"/>
      <w:r>
        <w:rPr>
          <w:rFonts w:hint="eastAsia" w:ascii="黑体" w:hAnsi="黑体" w:eastAsia="黑体" w:cs="黑体"/>
          <w:sz w:val="30"/>
          <w:szCs w:val="30"/>
        </w:rPr>
        <w:t>七、教学进度总体安排</w:t>
      </w:r>
      <w:bookmarkEnd w:id="14"/>
    </w:p>
    <w:p>
      <w:pPr>
        <w:sectPr>
          <w:footerReference r:id="rId4" w:type="default"/>
          <w:pgSz w:w="11906" w:h="16838"/>
          <w:pgMar w:top="1440" w:right="1803" w:bottom="1440" w:left="1803" w:header="851" w:footer="992" w:gutter="0"/>
          <w:pgNumType w:start="1"/>
          <w:cols w:space="0" w:num="1"/>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15" w:name="_Toc17573"/>
      <w:r>
        <w:rPr>
          <w:rFonts w:hint="eastAsia" w:ascii="仿宋_GB2312" w:hAnsi="仿宋_GB2312" w:eastAsia="仿宋_GB2312" w:cs="仿宋_GB2312"/>
          <w:sz w:val="28"/>
          <w:szCs w:val="36"/>
        </w:rPr>
        <w:t>（一）教学活动时间分配</w:t>
      </w:r>
      <w:bookmarkEnd w:id="15"/>
    </w:p>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08"/>
        <w:gridCol w:w="601"/>
        <w:gridCol w:w="606"/>
        <w:gridCol w:w="603"/>
        <w:gridCol w:w="604"/>
        <w:gridCol w:w="603"/>
        <w:gridCol w:w="604"/>
        <w:gridCol w:w="603"/>
        <w:gridCol w:w="60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1609" w:type="pct"/>
            <w:vMerge w:val="restart"/>
            <w:vAlign w:val="center"/>
          </w:tcPr>
          <w:p>
            <w:pPr>
              <w:pStyle w:val="24"/>
              <w:jc w:val="right"/>
              <w:rPr>
                <w:rFonts w:hint="eastAsia" w:ascii="仿宋" w:hAnsi="仿宋" w:eastAsia="仿宋" w:cs="仿宋"/>
              </w:rPr>
            </w:pPr>
            <w:r>
              <mc:AlternateContent>
                <mc:Choice Requires="wps">
                  <w:drawing>
                    <wp:anchor distT="0" distB="0" distL="114300" distR="114300" simplePos="0" relativeHeight="251663360" behindDoc="0" locked="0" layoutInCell="1" allowOverlap="1">
                      <wp:simplePos x="0" y="0"/>
                      <wp:positionH relativeFrom="column">
                        <wp:posOffset>-40640</wp:posOffset>
                      </wp:positionH>
                      <wp:positionV relativeFrom="paragraph">
                        <wp:posOffset>-3810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3360;mso-width-relative:page;mso-height-relative:page;" filled="f" stroked="t" coordsize="21600,21600" o:gfxdata="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HsTVn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2336;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 w:hAnsi="仿宋" w:eastAsia="仿宋" w:cs="仿宋"/>
              </w:rPr>
              <w:t>学年</w:t>
            </w:r>
          </w:p>
          <w:p>
            <w:pPr>
              <w:pStyle w:val="24"/>
              <w:jc w:val="center"/>
              <w:rPr>
                <w:rFonts w:hint="eastAsia" w:ascii="仿宋" w:hAnsi="仿宋" w:eastAsia="仿宋" w:cs="仿宋"/>
              </w:rPr>
            </w:pPr>
            <w:r>
              <w:rPr>
                <w:rFonts w:hint="eastAsia" w:ascii="仿宋" w:hAnsi="仿宋" w:eastAsia="仿宋" w:cs="仿宋"/>
              </w:rPr>
              <w:t xml:space="preserve">     周</w:t>
            </w:r>
          </w:p>
          <w:p>
            <w:pPr>
              <w:pStyle w:val="24"/>
              <w:rPr>
                <w:rFonts w:hint="eastAsia" w:ascii="仿宋" w:hAnsi="仿宋" w:eastAsia="仿宋" w:cs="仿宋"/>
              </w:rPr>
            </w:pPr>
            <w:r>
              <w:rPr>
                <w:rFonts w:hint="eastAsia" w:ascii="仿宋" w:hAnsi="仿宋" w:eastAsia="仿宋" w:cs="仿宋"/>
              </w:rPr>
              <w:t>项目</w:t>
            </w:r>
          </w:p>
        </w:tc>
        <w:tc>
          <w:tcPr>
            <w:tcW w:w="717" w:type="pct"/>
            <w:gridSpan w:val="2"/>
            <w:vAlign w:val="center"/>
          </w:tcPr>
          <w:p>
            <w:pPr>
              <w:pStyle w:val="24"/>
              <w:jc w:val="center"/>
              <w:rPr>
                <w:rFonts w:hint="eastAsia" w:ascii="仿宋" w:hAnsi="仿宋" w:eastAsia="仿宋" w:cs="仿宋"/>
              </w:rPr>
            </w:pPr>
            <w:r>
              <w:rPr>
                <w:rFonts w:hint="eastAsia" w:ascii="仿宋" w:hAnsi="仿宋" w:eastAsia="仿宋" w:cs="仿宋"/>
              </w:rPr>
              <w:t>一</w:t>
            </w:r>
          </w:p>
        </w:tc>
        <w:tc>
          <w:tcPr>
            <w:tcW w:w="717" w:type="pct"/>
            <w:gridSpan w:val="2"/>
            <w:vAlign w:val="center"/>
          </w:tcPr>
          <w:p>
            <w:pPr>
              <w:pStyle w:val="24"/>
              <w:jc w:val="center"/>
              <w:rPr>
                <w:rFonts w:hint="eastAsia" w:ascii="仿宋" w:hAnsi="仿宋" w:eastAsia="仿宋" w:cs="仿宋"/>
              </w:rPr>
            </w:pPr>
            <w:r>
              <w:rPr>
                <w:rFonts w:hint="eastAsia" w:ascii="仿宋" w:hAnsi="仿宋" w:eastAsia="仿宋" w:cs="仿宋"/>
              </w:rPr>
              <w:t>二</w:t>
            </w:r>
          </w:p>
        </w:tc>
        <w:tc>
          <w:tcPr>
            <w:tcW w:w="717" w:type="pct"/>
            <w:gridSpan w:val="2"/>
            <w:vAlign w:val="center"/>
          </w:tcPr>
          <w:p>
            <w:pPr>
              <w:pStyle w:val="24"/>
              <w:jc w:val="center"/>
              <w:rPr>
                <w:rFonts w:hint="eastAsia" w:ascii="仿宋" w:hAnsi="仿宋" w:eastAsia="仿宋" w:cs="仿宋"/>
              </w:rPr>
            </w:pPr>
            <w:r>
              <w:rPr>
                <w:rFonts w:hint="eastAsia" w:ascii="仿宋" w:hAnsi="仿宋" w:eastAsia="仿宋" w:cs="仿宋"/>
              </w:rPr>
              <w:t>三</w:t>
            </w:r>
          </w:p>
        </w:tc>
        <w:tc>
          <w:tcPr>
            <w:tcW w:w="717" w:type="pct"/>
            <w:gridSpan w:val="2"/>
            <w:vAlign w:val="center"/>
          </w:tcPr>
          <w:p>
            <w:pPr>
              <w:pStyle w:val="24"/>
              <w:jc w:val="center"/>
              <w:rPr>
                <w:rFonts w:hint="eastAsia" w:ascii="仿宋" w:hAnsi="仿宋" w:eastAsia="仿宋" w:cs="仿宋"/>
              </w:rPr>
            </w:pPr>
            <w:r>
              <w:rPr>
                <w:rFonts w:hint="eastAsia" w:ascii="仿宋" w:hAnsi="仿宋" w:eastAsia="仿宋" w:cs="仿宋"/>
              </w:rPr>
              <w:t>四</w:t>
            </w:r>
          </w:p>
        </w:tc>
        <w:tc>
          <w:tcPr>
            <w:tcW w:w="520" w:type="pct"/>
            <w:vMerge w:val="restart"/>
            <w:vAlign w:val="center"/>
          </w:tcPr>
          <w:p>
            <w:pPr>
              <w:pStyle w:val="24"/>
              <w:jc w:val="center"/>
              <w:rPr>
                <w:rFonts w:hint="eastAsia" w:ascii="仿宋" w:hAnsi="仿宋" w:eastAsia="仿宋" w:cs="仿宋"/>
              </w:rPr>
            </w:pPr>
            <w:r>
              <w:rPr>
                <w:rFonts w:hint="eastAsia" w:ascii="仿宋" w:hAnsi="仿宋" w:eastAsia="仿宋" w:cs="仿宋"/>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Merge w:val="continue"/>
            <w:vAlign w:val="center"/>
          </w:tcPr>
          <w:p>
            <w:pPr>
              <w:pStyle w:val="24"/>
              <w:rPr>
                <w:rFonts w:hint="eastAsia" w:ascii="仿宋" w:hAnsi="仿宋" w:eastAsia="仿宋" w:cs="仿宋"/>
              </w:rPr>
            </w:pP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2</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3</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4</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7</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8</w:t>
            </w:r>
          </w:p>
        </w:tc>
        <w:tc>
          <w:tcPr>
            <w:tcW w:w="520" w:type="pct"/>
            <w:vMerge w:val="continue"/>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Align w:val="center"/>
          </w:tcPr>
          <w:p>
            <w:pPr>
              <w:pStyle w:val="24"/>
              <w:rPr>
                <w:rFonts w:hint="eastAsia" w:ascii="仿宋" w:hAnsi="仿宋" w:eastAsia="仿宋" w:cs="仿宋"/>
              </w:rPr>
            </w:pPr>
            <w:r>
              <w:rPr>
                <w:rFonts w:hint="eastAsia" w:ascii="仿宋" w:hAnsi="仿宋" w:eastAsia="仿宋" w:cs="仿宋"/>
              </w:rPr>
              <w:t>1.学期教育总周数小计</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4"/>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4"/>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4"/>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4"/>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9" w:type="pct"/>
            <w:vAlign w:val="center"/>
          </w:tcPr>
          <w:p>
            <w:pPr>
              <w:pStyle w:val="24"/>
              <w:jc w:val="center"/>
              <w:rPr>
                <w:rFonts w:hint="eastAsia" w:ascii="仿宋" w:hAnsi="仿宋" w:eastAsia="仿宋" w:cs="仿宋"/>
                <w:kern w:val="0"/>
                <w:lang w:bidi="en-US"/>
              </w:rPr>
            </w:pPr>
            <w:r>
              <w:rPr>
                <w:rFonts w:hint="eastAsia" w:ascii="仿宋" w:hAnsi="仿宋" w:eastAsia="仿宋" w:cs="仿宋"/>
                <w:kern w:val="0"/>
                <w:lang w:bidi="en-US"/>
              </w:rPr>
              <w:t>20</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20</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0</w:t>
            </w:r>
          </w:p>
        </w:tc>
        <w:tc>
          <w:tcPr>
            <w:tcW w:w="520" w:type="pct"/>
            <w:vAlign w:val="center"/>
          </w:tcPr>
          <w:p>
            <w:pPr>
              <w:pStyle w:val="24"/>
              <w:jc w:val="center"/>
              <w:rPr>
                <w:rFonts w:hint="eastAsia" w:ascii="仿宋" w:hAnsi="仿宋" w:eastAsia="仿宋" w:cs="仿宋"/>
              </w:rPr>
            </w:pPr>
            <w:r>
              <w:rPr>
                <w:rFonts w:hint="eastAsia" w:ascii="仿宋" w:hAnsi="仿宋" w:eastAsia="仿宋" w:cs="仿宋"/>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hint="eastAsia" w:ascii="仿宋" w:hAnsi="仿宋" w:eastAsia="仿宋" w:cs="仿宋"/>
              </w:rPr>
            </w:pPr>
            <w:r>
              <w:rPr>
                <w:rFonts w:hint="eastAsia" w:ascii="仿宋" w:hAnsi="仿宋" w:eastAsia="仿宋" w:cs="仿宋"/>
              </w:rPr>
              <w:t>其中：课堂教学</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16.5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18</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18.5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18</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18.5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18</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5.5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ind w:firstLine="630" w:firstLineChars="300"/>
              <w:rPr>
                <w:rFonts w:hint="eastAsia" w:ascii="仿宋" w:hAnsi="仿宋" w:eastAsia="仿宋" w:cs="仿宋"/>
              </w:rPr>
            </w:pPr>
            <w:r>
              <w:rPr>
                <w:rFonts w:hint="eastAsia" w:ascii="仿宋" w:hAnsi="仿宋" w:eastAsia="仿宋" w:cs="仿宋"/>
              </w:rPr>
              <w:t>集中实验、实训教学</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1609" w:type="pct"/>
            <w:vAlign w:val="center"/>
          </w:tcPr>
          <w:p>
            <w:pPr>
              <w:pStyle w:val="24"/>
              <w:ind w:firstLine="630" w:firstLineChars="300"/>
              <w:rPr>
                <w:rFonts w:hint="eastAsia" w:ascii="仿宋" w:hAnsi="仿宋" w:eastAsia="仿宋" w:cs="仿宋"/>
                <w:b/>
              </w:rPr>
            </w:pPr>
            <w:r>
              <w:rPr>
                <w:rFonts w:hint="eastAsia" w:ascii="仿宋" w:hAnsi="仿宋" w:eastAsia="仿宋" w:cs="仿宋"/>
              </w:rPr>
              <w:t>军事技能训练</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2</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4"/>
              <w:jc w:val="center"/>
              <w:rPr>
                <w:rFonts w:hint="eastAsia" w:ascii="仿宋" w:hAnsi="仿宋" w:eastAsia="仿宋" w:cs="仿宋"/>
              </w:rPr>
            </w:pP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1609" w:type="pct"/>
            <w:vAlign w:val="center"/>
          </w:tcPr>
          <w:p>
            <w:pPr>
              <w:pStyle w:val="24"/>
              <w:ind w:firstLine="630" w:firstLineChars="300"/>
              <w:rPr>
                <w:rFonts w:hint="eastAsia" w:ascii="仿宋" w:hAnsi="仿宋" w:eastAsia="仿宋" w:cs="仿宋"/>
              </w:rPr>
            </w:pPr>
            <w:r>
              <w:rPr>
                <w:rFonts w:hint="eastAsia" w:ascii="仿宋" w:hAnsi="仿宋" w:eastAsia="仿宋" w:cs="仿宋"/>
              </w:rPr>
              <w:t>毕业设计（论文）</w:t>
            </w:r>
          </w:p>
        </w:tc>
        <w:tc>
          <w:tcPr>
            <w:tcW w:w="357"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p>
        </w:tc>
        <w:tc>
          <w:tcPr>
            <w:tcW w:w="358"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p>
        </w:tc>
        <w:tc>
          <w:tcPr>
            <w:tcW w:w="358"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8</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ind w:firstLine="630" w:firstLineChars="300"/>
              <w:rPr>
                <w:rFonts w:hint="eastAsia" w:ascii="仿宋" w:hAnsi="仿宋" w:eastAsia="仿宋" w:cs="仿宋"/>
              </w:rPr>
            </w:pPr>
            <w:r>
              <w:rPr>
                <w:rFonts w:hint="eastAsia" w:ascii="仿宋" w:hAnsi="仿宋" w:eastAsia="仿宋" w:cs="仿宋"/>
              </w:rPr>
              <w:t>企业课程周</w:t>
            </w:r>
          </w:p>
        </w:tc>
        <w:tc>
          <w:tcPr>
            <w:tcW w:w="357"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p>
        </w:tc>
        <w:tc>
          <w:tcPr>
            <w:tcW w:w="359" w:type="pct"/>
            <w:vAlign w:val="center"/>
          </w:tcPr>
          <w:p>
            <w:pPr>
              <w:jc w:val="center"/>
              <w:rPr>
                <w:rFonts w:hint="eastAsia" w:ascii="仿宋" w:hAnsi="仿宋" w:eastAsia="仿宋" w:cs="仿宋"/>
              </w:rPr>
            </w:pPr>
            <w:r>
              <w:rPr>
                <w:rFonts w:hint="eastAsia" w:ascii="仿宋" w:hAnsi="仿宋" w:eastAsia="仿宋" w:cs="仿宋"/>
              </w:rPr>
              <w:t>1</w:t>
            </w:r>
          </w:p>
        </w:tc>
        <w:tc>
          <w:tcPr>
            <w:tcW w:w="358" w:type="pct"/>
            <w:vAlign w:val="center"/>
          </w:tcPr>
          <w:p>
            <w:pPr>
              <w:jc w:val="center"/>
              <w:rPr>
                <w:rFonts w:hint="eastAsia" w:ascii="仿宋" w:hAnsi="仿宋" w:eastAsia="仿宋" w:cs="仿宋"/>
              </w:rPr>
            </w:pPr>
            <w:r>
              <w:rPr>
                <w:rFonts w:hint="eastAsia" w:ascii="仿宋" w:hAnsi="仿宋" w:eastAsia="仿宋" w:cs="仿宋"/>
              </w:rPr>
              <w:t>1</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ind w:firstLine="630" w:firstLineChars="300"/>
              <w:rPr>
                <w:rFonts w:hint="eastAsia" w:ascii="仿宋" w:hAnsi="仿宋" w:eastAsia="仿宋" w:cs="仿宋"/>
              </w:rPr>
            </w:pPr>
            <w:r>
              <w:rPr>
                <w:rFonts w:hint="eastAsia" w:ascii="仿宋" w:hAnsi="仿宋" w:eastAsia="仿宋" w:cs="仿宋"/>
              </w:rPr>
              <w:t>校运会</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0.5</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0.5</w:t>
            </w:r>
          </w:p>
        </w:tc>
        <w:tc>
          <w:tcPr>
            <w:tcW w:w="359" w:type="pct"/>
            <w:vAlign w:val="center"/>
          </w:tcPr>
          <w:p>
            <w:pPr>
              <w:jc w:val="center"/>
              <w:rPr>
                <w:rFonts w:hint="eastAsia" w:ascii="仿宋" w:hAnsi="仿宋" w:eastAsia="仿宋" w:cs="仿宋"/>
              </w:rPr>
            </w:pPr>
            <w:r>
              <w:rPr>
                <w:rFonts w:hint="eastAsia" w:ascii="仿宋" w:hAnsi="仿宋" w:eastAsia="仿宋" w:cs="仿宋"/>
              </w:rPr>
              <w:t>——</w:t>
            </w:r>
          </w:p>
        </w:tc>
        <w:tc>
          <w:tcPr>
            <w:tcW w:w="520" w:type="pct"/>
            <w:vAlign w:val="center"/>
          </w:tcPr>
          <w:p>
            <w:pPr>
              <w:pStyle w:val="24"/>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hint="eastAsia" w:ascii="仿宋" w:hAnsi="仿宋" w:eastAsia="仿宋" w:cs="仿宋"/>
              </w:rPr>
            </w:pPr>
            <w:r>
              <w:rPr>
                <w:rFonts w:hint="eastAsia" w:ascii="仿宋" w:hAnsi="仿宋" w:eastAsia="仿宋" w:cs="仿宋"/>
              </w:rPr>
              <w:t>2.毕业实习</w:t>
            </w:r>
          </w:p>
        </w:tc>
        <w:tc>
          <w:tcPr>
            <w:tcW w:w="357"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p>
        </w:tc>
        <w:tc>
          <w:tcPr>
            <w:tcW w:w="358"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p>
        </w:tc>
        <w:tc>
          <w:tcPr>
            <w:tcW w:w="358"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p>
        </w:tc>
        <w:tc>
          <w:tcPr>
            <w:tcW w:w="358" w:type="pct"/>
            <w:vAlign w:val="center"/>
          </w:tcPr>
          <w:p>
            <w:pPr>
              <w:pStyle w:val="24"/>
              <w:jc w:val="center"/>
              <w:rPr>
                <w:rFonts w:hint="eastAsia" w:ascii="仿宋" w:hAnsi="仿宋" w:eastAsia="仿宋" w:cs="仿宋"/>
              </w:rPr>
            </w:pP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24</w:t>
            </w:r>
          </w:p>
        </w:tc>
        <w:tc>
          <w:tcPr>
            <w:tcW w:w="520" w:type="pct"/>
            <w:vAlign w:val="center"/>
          </w:tcPr>
          <w:p>
            <w:pPr>
              <w:pStyle w:val="24"/>
              <w:jc w:val="center"/>
              <w:rPr>
                <w:rFonts w:hint="eastAsia" w:ascii="仿宋" w:hAnsi="仿宋" w:cs="仿宋"/>
              </w:rPr>
            </w:pPr>
            <w:r>
              <w:rPr>
                <w:rFonts w:hint="eastAsia"/>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hint="eastAsia" w:ascii="仿宋" w:hAnsi="仿宋" w:eastAsia="仿宋" w:cs="仿宋"/>
              </w:rPr>
            </w:pPr>
            <w:r>
              <w:rPr>
                <w:rFonts w:hint="eastAsia" w:ascii="仿宋" w:hAnsi="仿宋" w:eastAsia="仿宋" w:cs="仿宋"/>
              </w:rPr>
              <w:t>3.寒暑假</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6</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4</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2</w:t>
            </w:r>
          </w:p>
        </w:tc>
        <w:tc>
          <w:tcPr>
            <w:tcW w:w="520" w:type="pct"/>
            <w:vAlign w:val="center"/>
          </w:tcPr>
          <w:p>
            <w:pPr>
              <w:pStyle w:val="24"/>
              <w:jc w:val="center"/>
              <w:rPr>
                <w:rFonts w:hint="eastAsia" w:ascii="仿宋" w:hAnsi="仿宋" w:eastAsia="仿宋" w:cs="仿宋"/>
              </w:rPr>
            </w:pPr>
            <w:r>
              <w:rPr>
                <w:rFonts w:hint="eastAsia" w:ascii="仿宋" w:hAnsi="仿宋" w:eastAsia="仿宋" w:cs="仿宋"/>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24"/>
              <w:rPr>
                <w:rFonts w:hint="eastAsia" w:ascii="仿宋" w:hAnsi="仿宋" w:eastAsia="仿宋" w:cs="仿宋"/>
              </w:rPr>
            </w:pPr>
            <w:r>
              <w:rPr>
                <w:rFonts w:hint="eastAsia" w:ascii="仿宋" w:hAnsi="仿宋" w:eastAsia="仿宋" w:cs="仿宋"/>
              </w:rPr>
              <w:t>4.机动</w:t>
            </w:r>
          </w:p>
        </w:tc>
        <w:tc>
          <w:tcPr>
            <w:tcW w:w="357"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8"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359" w:type="pct"/>
            <w:vAlign w:val="center"/>
          </w:tcPr>
          <w:p>
            <w:pPr>
              <w:pStyle w:val="24"/>
              <w:jc w:val="center"/>
              <w:rPr>
                <w:rFonts w:hint="eastAsia" w:ascii="仿宋" w:hAnsi="仿宋" w:eastAsia="仿宋" w:cs="仿宋"/>
              </w:rPr>
            </w:pPr>
            <w:r>
              <w:rPr>
                <w:rFonts w:hint="eastAsia" w:ascii="仿宋" w:hAnsi="仿宋" w:eastAsia="仿宋" w:cs="仿宋"/>
              </w:rPr>
              <w:t>1</w:t>
            </w:r>
          </w:p>
        </w:tc>
        <w:tc>
          <w:tcPr>
            <w:tcW w:w="520" w:type="pct"/>
            <w:vAlign w:val="center"/>
          </w:tcPr>
          <w:p>
            <w:pPr>
              <w:pStyle w:val="24"/>
              <w:jc w:val="center"/>
              <w:rPr>
                <w:rFonts w:hint="eastAsia" w:ascii="仿宋" w:hAnsi="仿宋" w:eastAsia="仿宋" w:cs="仿宋"/>
              </w:rPr>
            </w:pPr>
            <w:r>
              <w:rPr>
                <w:rFonts w:hint="eastAsia" w:ascii="仿宋" w:hAnsi="仿宋" w:eastAsia="仿宋" w:cs="仿宋"/>
              </w:rPr>
              <w:t>8</w:t>
            </w:r>
          </w:p>
        </w:tc>
      </w:tr>
    </w:tbl>
    <w:p>
      <w:pPr>
        <w:pStyle w:val="2"/>
        <w:ind w:firstLine="562" w:firstLineChars="200"/>
        <w:rPr>
          <w:rFonts w:hint="eastAsia" w:ascii="仿宋_GB2312" w:hAnsi="仿宋_GB2312" w:eastAsia="仿宋_GB2312" w:cs="仿宋_GB2312"/>
          <w:sz w:val="28"/>
          <w:szCs w:val="36"/>
        </w:rPr>
      </w:pPr>
      <w:bookmarkStart w:id="16" w:name="_Toc31832"/>
      <w:r>
        <w:rPr>
          <w:rFonts w:hint="eastAsia" w:ascii="仿宋_GB2312" w:hAnsi="仿宋_GB2312" w:eastAsia="仿宋_GB2312" w:cs="仿宋_GB2312"/>
          <w:sz w:val="28"/>
          <w:szCs w:val="36"/>
        </w:rPr>
        <w:t>（二）课程学分学时比例构成</w:t>
      </w:r>
      <w:bookmarkEnd w:id="16"/>
    </w:p>
    <w:p>
      <w:pPr>
        <w:pStyle w:val="6"/>
        <w:jc w:val="center"/>
        <w:rPr>
          <w:rFonts w:hint="eastAsia" w:ascii="仿宋" w:hAnsi="仿宋" w:eastAsia="仿宋" w:cs="仿宋"/>
          <w:b/>
          <w:bCs/>
          <w:sz w:val="24"/>
          <w:szCs w:val="24"/>
        </w:rPr>
      </w:pPr>
      <w:r>
        <w:rPr>
          <w:rFonts w:hint="eastAsia" w:ascii="仿宋" w:hAnsi="仿宋" w:eastAsia="仿宋" w:cs="仿宋"/>
          <w:b/>
          <w:bCs/>
          <w:sz w:val="24"/>
          <w:szCs w:val="24"/>
        </w:rPr>
        <w:t>表：课程学时学分比例构成表</w:t>
      </w:r>
    </w:p>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2"/>
        <w:gridCol w:w="545"/>
        <w:gridCol w:w="654"/>
        <w:gridCol w:w="761"/>
        <w:gridCol w:w="761"/>
        <w:gridCol w:w="484"/>
        <w:gridCol w:w="1069"/>
        <w:gridCol w:w="649"/>
        <w:gridCol w:w="654"/>
        <w:gridCol w:w="761"/>
        <w:gridCol w:w="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纵向结构</w:t>
            </w:r>
          </w:p>
          <w:p>
            <w:pPr>
              <w:widowControl/>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（课程类别）</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w:t>
            </w:r>
          </w:p>
        </w:tc>
        <w:tc>
          <w:tcPr>
            <w:tcW w:w="447" w:type="pct"/>
            <w:vAlign w:val="center"/>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447" w:type="pct"/>
            <w:vAlign w:val="center"/>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284" w:type="pct"/>
            <w:vMerge w:val="restart"/>
            <w:vAlign w:val="center"/>
          </w:tcPr>
          <w:p>
            <w:pPr>
              <w:widowControl/>
              <w:adjustRightInd w:val="0"/>
              <w:snapToGrid w:val="0"/>
              <w:jc w:val="center"/>
              <w:rPr>
                <w:rFonts w:hint="eastAsia" w:ascii="仿宋_GB2312" w:hAnsi="仿宋_GB2312" w:eastAsia="仿宋_GB2312" w:cs="仿宋_GB2312"/>
                <w:kern w:val="0"/>
                <w:sz w:val="20"/>
                <w:szCs w:val="20"/>
              </w:rPr>
            </w:pPr>
          </w:p>
          <w:p>
            <w:pPr>
              <w:pStyle w:val="2"/>
              <w:rPr>
                <w:rFonts w:hint="eastAsia" w:ascii="仿宋_GB2312" w:hAnsi="仿宋_GB2312" w:eastAsia="仿宋_GB2312" w:cs="仿宋_GB2312"/>
                <w:b w:val="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横向结构</w:t>
            </w:r>
          </w:p>
        </w:tc>
        <w:tc>
          <w:tcPr>
            <w:tcW w:w="381"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w:t>
            </w:r>
          </w:p>
        </w:tc>
        <w:tc>
          <w:tcPr>
            <w:tcW w:w="447" w:type="pct"/>
            <w:vAlign w:val="center"/>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学分比例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c>
          <w:tcPr>
            <w:tcW w:w="447" w:type="pct"/>
          </w:tcPr>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学时比例</w:t>
            </w:r>
          </w:p>
          <w:p>
            <w:pPr>
              <w:widowControl/>
              <w:adjustRightInd w:val="0"/>
              <w:snapToGrid w:val="0"/>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通识必修课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51</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964</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30.0%</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30.1%</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必修课</w:t>
            </w:r>
          </w:p>
        </w:tc>
        <w:tc>
          <w:tcPr>
            <w:tcW w:w="381"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145</w:t>
            </w:r>
          </w:p>
        </w:tc>
        <w:tc>
          <w:tcPr>
            <w:tcW w:w="384"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2804</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85.3%</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87.5%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通识选修课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6</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96</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3.5%</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3.0%</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选修课</w:t>
            </w:r>
          </w:p>
        </w:tc>
        <w:tc>
          <w:tcPr>
            <w:tcW w:w="381"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25</w:t>
            </w:r>
          </w:p>
        </w:tc>
        <w:tc>
          <w:tcPr>
            <w:tcW w:w="384"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400</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14.7%</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专业通识课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7</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112</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4.1%</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3.5%</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合计</w:t>
            </w:r>
          </w:p>
        </w:tc>
        <w:tc>
          <w:tcPr>
            <w:tcW w:w="381"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170</w:t>
            </w:r>
          </w:p>
        </w:tc>
        <w:tc>
          <w:tcPr>
            <w:tcW w:w="384"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3204</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100%</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专业基础课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13</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208</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7.6%</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6.5%</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理论学时</w:t>
            </w:r>
          </w:p>
        </w:tc>
        <w:tc>
          <w:tcPr>
            <w:tcW w:w="381"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4"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1204</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专业核心课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36</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576</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21.2%</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18.0%</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实践学时</w:t>
            </w:r>
          </w:p>
        </w:tc>
        <w:tc>
          <w:tcPr>
            <w:tcW w:w="381"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384"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2000</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w:t>
            </w:r>
          </w:p>
        </w:tc>
        <w:tc>
          <w:tcPr>
            <w:tcW w:w="447" w:type="pct"/>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sz w:val="20"/>
                <w:szCs w:val="20"/>
              </w:rPr>
              <w:t>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专业拓展课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12</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192</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7.1%</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6.0%</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合计</w:t>
            </w:r>
          </w:p>
        </w:tc>
        <w:tc>
          <w:tcPr>
            <w:tcW w:w="381" w:type="pct"/>
          </w:tcPr>
          <w:p>
            <w:pPr>
              <w:widowControl/>
              <w:jc w:val="center"/>
              <w:rPr>
                <w:rFonts w:hint="eastAsia" w:ascii="仿宋_GB2312" w:hAnsi="仿宋_GB2312" w:eastAsia="仿宋_GB2312" w:cs="仿宋_GB2312"/>
                <w:kern w:val="0"/>
                <w:sz w:val="20"/>
                <w:szCs w:val="20"/>
              </w:rPr>
            </w:pPr>
          </w:p>
        </w:tc>
        <w:tc>
          <w:tcPr>
            <w:tcW w:w="384" w:type="pct"/>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3204</w:t>
            </w:r>
          </w:p>
        </w:tc>
        <w:tc>
          <w:tcPr>
            <w:tcW w:w="447" w:type="pct"/>
            <w:vAlign w:val="center"/>
          </w:tcPr>
          <w:p>
            <w:pPr>
              <w:widowControl/>
              <w:jc w:val="center"/>
              <w:rPr>
                <w:rFonts w:hint="eastAsia" w:ascii="仿宋_GB2312" w:hAnsi="仿宋_GB2312" w:eastAsia="仿宋_GB2312" w:cs="仿宋_GB2312"/>
                <w:sz w:val="20"/>
                <w:szCs w:val="20"/>
              </w:rPr>
            </w:pPr>
          </w:p>
        </w:tc>
        <w:tc>
          <w:tcPr>
            <w:tcW w:w="447" w:type="pct"/>
            <w:vAlign w:val="center"/>
          </w:tcPr>
          <w:p>
            <w:pPr>
              <w:widowControl/>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专业选修课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19</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304</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11.2%</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9.5%</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p>
        </w:tc>
        <w:tc>
          <w:tcPr>
            <w:tcW w:w="381" w:type="pct"/>
            <w:vAlign w:val="center"/>
          </w:tcPr>
          <w:p>
            <w:pPr>
              <w:widowControl/>
              <w:jc w:val="center"/>
              <w:rPr>
                <w:rFonts w:hint="eastAsia" w:ascii="仿宋_GB2312" w:hAnsi="仿宋_GB2312" w:eastAsia="仿宋_GB2312" w:cs="仿宋_GB2312"/>
                <w:kern w:val="0"/>
                <w:sz w:val="20"/>
                <w:szCs w:val="20"/>
              </w:rPr>
            </w:pPr>
          </w:p>
        </w:tc>
        <w:tc>
          <w:tcPr>
            <w:tcW w:w="384" w:type="pct"/>
            <w:vAlign w:val="center"/>
          </w:tcPr>
          <w:p>
            <w:pPr>
              <w:widowControl/>
              <w:jc w:val="center"/>
              <w:rPr>
                <w:rFonts w:hint="eastAsia" w:ascii="仿宋_GB2312" w:hAnsi="仿宋_GB2312" w:eastAsia="仿宋_GB2312" w:cs="仿宋_GB2312"/>
              </w:rPr>
            </w:pPr>
          </w:p>
        </w:tc>
        <w:tc>
          <w:tcPr>
            <w:tcW w:w="447" w:type="pct"/>
            <w:vAlign w:val="center"/>
          </w:tcPr>
          <w:p>
            <w:pPr>
              <w:widowControl/>
              <w:jc w:val="center"/>
              <w:rPr>
                <w:rFonts w:hint="eastAsia" w:ascii="仿宋_GB2312" w:hAnsi="仿宋_GB2312" w:eastAsia="仿宋_GB2312" w:cs="仿宋_GB2312"/>
                <w:kern w:val="0"/>
                <w:sz w:val="20"/>
                <w:szCs w:val="20"/>
              </w:rPr>
            </w:pPr>
          </w:p>
        </w:tc>
        <w:tc>
          <w:tcPr>
            <w:tcW w:w="447" w:type="pct"/>
          </w:tcPr>
          <w:p>
            <w:pPr>
              <w:widowControl/>
              <w:jc w:val="center"/>
              <w:rPr>
                <w:rFonts w:hint="eastAsia"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综合实践课</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26</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752</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15.3%</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23.5%</w:t>
            </w:r>
          </w:p>
        </w:tc>
        <w:tc>
          <w:tcPr>
            <w:tcW w:w="284" w:type="pct"/>
            <w:vMerge w:val="continue"/>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p>
        </w:tc>
        <w:tc>
          <w:tcPr>
            <w:tcW w:w="381" w:type="pct"/>
            <w:vAlign w:val="center"/>
          </w:tcPr>
          <w:p>
            <w:pPr>
              <w:widowControl/>
              <w:jc w:val="center"/>
              <w:rPr>
                <w:rFonts w:hint="eastAsia" w:ascii="仿宋_GB2312" w:hAnsi="仿宋_GB2312" w:eastAsia="仿宋_GB2312" w:cs="仿宋_GB2312"/>
                <w:kern w:val="0"/>
                <w:sz w:val="20"/>
                <w:szCs w:val="20"/>
              </w:rPr>
            </w:pPr>
          </w:p>
        </w:tc>
        <w:tc>
          <w:tcPr>
            <w:tcW w:w="384" w:type="pct"/>
            <w:vAlign w:val="center"/>
          </w:tcPr>
          <w:p>
            <w:pPr>
              <w:widowControl/>
              <w:jc w:val="center"/>
              <w:rPr>
                <w:rFonts w:hint="eastAsia" w:ascii="仿宋_GB2312" w:hAnsi="仿宋_GB2312" w:eastAsia="仿宋_GB2312" w:cs="仿宋_GB2312"/>
                <w:kern w:val="0"/>
                <w:sz w:val="20"/>
                <w:szCs w:val="20"/>
              </w:rPr>
            </w:pPr>
          </w:p>
        </w:tc>
        <w:tc>
          <w:tcPr>
            <w:tcW w:w="447" w:type="pct"/>
            <w:vAlign w:val="center"/>
          </w:tcPr>
          <w:p>
            <w:pPr>
              <w:widowControl/>
              <w:jc w:val="center"/>
              <w:rPr>
                <w:rFonts w:hint="eastAsia" w:ascii="仿宋_GB2312" w:hAnsi="仿宋_GB2312" w:eastAsia="仿宋_GB2312" w:cs="仿宋_GB2312"/>
                <w:kern w:val="0"/>
                <w:sz w:val="20"/>
                <w:szCs w:val="20"/>
              </w:rPr>
            </w:pPr>
          </w:p>
        </w:tc>
        <w:tc>
          <w:tcPr>
            <w:tcW w:w="447" w:type="pct"/>
          </w:tcPr>
          <w:p>
            <w:pPr>
              <w:widowControl/>
              <w:jc w:val="center"/>
              <w:rPr>
                <w:rFonts w:hint="eastAsia" w:ascii="仿宋_GB2312" w:hAnsi="仿宋_GB2312" w:eastAsia="仿宋_GB2312" w:cs="仿宋_GB2312"/>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3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kern w:val="0"/>
                <w:sz w:val="20"/>
                <w:szCs w:val="20"/>
              </w:rPr>
              <w:t>合计</w:t>
            </w:r>
          </w:p>
        </w:tc>
        <w:tc>
          <w:tcPr>
            <w:tcW w:w="320"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170</w:t>
            </w:r>
          </w:p>
        </w:tc>
        <w:tc>
          <w:tcPr>
            <w:tcW w:w="384"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3204</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100%</w:t>
            </w:r>
          </w:p>
        </w:tc>
        <w:tc>
          <w:tcPr>
            <w:tcW w:w="447" w:type="pct"/>
            <w:vAlign w:val="center"/>
          </w:tcPr>
          <w:p>
            <w:pPr>
              <w:widowControl/>
              <w:jc w:val="center"/>
              <w:rPr>
                <w:rFonts w:hint="eastAsia" w:ascii="仿宋_GB2312" w:hAnsi="仿宋_GB2312" w:eastAsia="仿宋_GB2312" w:cs="仿宋_GB2312"/>
                <w:kern w:val="0"/>
                <w:sz w:val="20"/>
                <w:szCs w:val="20"/>
              </w:rPr>
            </w:pPr>
            <w:r>
              <w:rPr>
                <w:rFonts w:hint="eastAsia" w:ascii="仿宋_GB2312" w:hAnsi="仿宋_GB2312" w:eastAsia="仿宋_GB2312" w:cs="仿宋_GB2312"/>
                <w:color w:val="000000"/>
                <w:sz w:val="20"/>
                <w:szCs w:val="20"/>
              </w:rPr>
              <w:t>100%</w:t>
            </w:r>
          </w:p>
        </w:tc>
        <w:tc>
          <w:tcPr>
            <w:tcW w:w="284" w:type="pct"/>
            <w:vAlign w:val="center"/>
          </w:tcPr>
          <w:p>
            <w:pPr>
              <w:widowControl/>
              <w:jc w:val="center"/>
              <w:rPr>
                <w:rFonts w:hint="eastAsia" w:ascii="仿宋_GB2312" w:hAnsi="仿宋_GB2312" w:eastAsia="仿宋_GB2312" w:cs="仿宋_GB2312"/>
                <w:kern w:val="0"/>
                <w:sz w:val="20"/>
                <w:szCs w:val="20"/>
              </w:rPr>
            </w:pPr>
          </w:p>
        </w:tc>
        <w:tc>
          <w:tcPr>
            <w:tcW w:w="628" w:type="pct"/>
            <w:vAlign w:val="center"/>
          </w:tcPr>
          <w:p>
            <w:pPr>
              <w:widowControl/>
              <w:jc w:val="center"/>
              <w:rPr>
                <w:rFonts w:hint="eastAsia" w:ascii="仿宋_GB2312" w:hAnsi="仿宋_GB2312" w:eastAsia="仿宋_GB2312" w:cs="仿宋_GB2312"/>
                <w:kern w:val="0"/>
                <w:sz w:val="20"/>
                <w:szCs w:val="20"/>
              </w:rPr>
            </w:pPr>
          </w:p>
        </w:tc>
        <w:tc>
          <w:tcPr>
            <w:tcW w:w="381" w:type="pct"/>
            <w:vAlign w:val="center"/>
          </w:tcPr>
          <w:p>
            <w:pPr>
              <w:widowControl/>
              <w:jc w:val="center"/>
              <w:rPr>
                <w:rFonts w:hint="eastAsia" w:ascii="仿宋_GB2312" w:hAnsi="仿宋_GB2312" w:eastAsia="仿宋_GB2312" w:cs="仿宋_GB2312"/>
                <w:kern w:val="0"/>
                <w:sz w:val="20"/>
                <w:szCs w:val="20"/>
              </w:rPr>
            </w:pPr>
          </w:p>
        </w:tc>
        <w:tc>
          <w:tcPr>
            <w:tcW w:w="384" w:type="pct"/>
            <w:vAlign w:val="center"/>
          </w:tcPr>
          <w:p>
            <w:pPr>
              <w:widowControl/>
              <w:jc w:val="center"/>
              <w:rPr>
                <w:rFonts w:hint="eastAsia" w:ascii="仿宋_GB2312" w:hAnsi="仿宋_GB2312" w:eastAsia="仿宋_GB2312" w:cs="仿宋_GB2312"/>
                <w:kern w:val="0"/>
                <w:sz w:val="20"/>
                <w:szCs w:val="20"/>
              </w:rPr>
            </w:pPr>
          </w:p>
        </w:tc>
        <w:tc>
          <w:tcPr>
            <w:tcW w:w="447" w:type="pct"/>
            <w:vAlign w:val="center"/>
          </w:tcPr>
          <w:p>
            <w:pPr>
              <w:widowControl/>
              <w:jc w:val="center"/>
              <w:rPr>
                <w:rFonts w:hint="eastAsia" w:ascii="仿宋_GB2312" w:hAnsi="仿宋_GB2312" w:eastAsia="仿宋_GB2312" w:cs="仿宋_GB2312"/>
                <w:kern w:val="0"/>
                <w:sz w:val="20"/>
                <w:szCs w:val="20"/>
              </w:rPr>
            </w:pPr>
          </w:p>
        </w:tc>
        <w:tc>
          <w:tcPr>
            <w:tcW w:w="447" w:type="pct"/>
          </w:tcPr>
          <w:p>
            <w:pPr>
              <w:widowControl/>
              <w:jc w:val="center"/>
              <w:rPr>
                <w:rFonts w:hint="eastAsia" w:ascii="仿宋_GB2312" w:hAnsi="仿宋_GB2312" w:eastAsia="仿宋_GB2312" w:cs="仿宋_GB2312"/>
                <w:kern w:val="0"/>
                <w:sz w:val="20"/>
                <w:szCs w:val="20"/>
              </w:rPr>
            </w:pPr>
          </w:p>
        </w:tc>
      </w:tr>
    </w:tbl>
    <w:p>
      <w:pPr>
        <w:pStyle w:val="2"/>
        <w:ind w:firstLine="562" w:firstLineChars="200"/>
        <w:rPr>
          <w:rFonts w:hint="eastAsia" w:ascii="仿宋_GB2312" w:hAnsi="仿宋_GB2312" w:eastAsia="仿宋_GB2312" w:cs="仿宋_GB2312"/>
          <w:sz w:val="28"/>
          <w:szCs w:val="36"/>
        </w:rPr>
      </w:pPr>
      <w:bookmarkStart w:id="17" w:name="_Toc5913"/>
      <w:r>
        <w:rPr>
          <w:rFonts w:hint="eastAsia" w:ascii="仿宋_GB2312" w:hAnsi="仿宋_GB2312" w:eastAsia="仿宋_GB2312" w:cs="仿宋_GB2312"/>
          <w:sz w:val="28"/>
          <w:szCs w:val="36"/>
        </w:rPr>
        <w:t>（三）第一课堂进程安排</w:t>
      </w:r>
      <w:bookmarkEnd w:id="17"/>
    </w:p>
    <w:p>
      <w:pPr>
        <w:pStyle w:val="4"/>
        <w:spacing w:line="240" w:lineRule="auto"/>
        <w:ind w:firstLine="560"/>
        <w:rPr>
          <w:rFonts w:hint="eastAsia" w:ascii="宋体" w:hAnsi="宋体" w:eastAsia="宋体" w:cs="宋体"/>
          <w:bCs/>
          <w:szCs w:val="21"/>
        </w:rPr>
      </w:pPr>
      <w:bookmarkStart w:id="18" w:name="_Toc23969"/>
      <w:bookmarkStart w:id="19" w:name="_Toc1337"/>
      <w:r>
        <w:rPr>
          <w:rFonts w:hint="eastAsia" w:ascii="宋体" w:hAnsi="宋体" w:eastAsia="宋体" w:cs="宋体"/>
          <w:bCs/>
          <w:szCs w:val="21"/>
        </w:rPr>
        <w:t>1. 通识教育课程安排</w:t>
      </w:r>
      <w:bookmarkEnd w:id="18"/>
      <w:bookmarkEnd w:id="19"/>
    </w:p>
    <w:tbl>
      <w:tblPr>
        <w:tblStyle w:val="14"/>
        <w:tblW w:w="492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2560"/>
        <w:gridCol w:w="1086"/>
        <w:gridCol w:w="1217"/>
        <w:gridCol w:w="1187"/>
        <w:gridCol w:w="1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604" w:type="pct"/>
            <w:vAlign w:val="center"/>
          </w:tcPr>
          <w:p>
            <w:pPr>
              <w:jc w:val="center"/>
              <w:rPr>
                <w:rFonts w:hint="eastAsia" w:ascii="仿宋_GB2312" w:hAnsi="仿宋_GB2312" w:eastAsia="仿宋_GB2312" w:cs="仿宋_GB2312"/>
                <w:b/>
                <w:bCs/>
                <w:szCs w:val="16"/>
              </w:rPr>
            </w:pPr>
            <w:bookmarkStart w:id="20" w:name="_Toc31667"/>
            <w:r>
              <w:rPr>
                <w:rFonts w:hint="eastAsia" w:ascii="仿宋_GB2312" w:hAnsi="仿宋_GB2312" w:eastAsia="仿宋_GB2312" w:cs="仿宋_GB2312"/>
                <w:b/>
                <w:bCs/>
                <w:szCs w:val="16"/>
              </w:rPr>
              <w:t>序号</w:t>
            </w:r>
          </w:p>
        </w:tc>
        <w:tc>
          <w:tcPr>
            <w:tcW w:w="1526" w:type="pct"/>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课程名称</w:t>
            </w:r>
          </w:p>
        </w:tc>
        <w:tc>
          <w:tcPr>
            <w:tcW w:w="647" w:type="pct"/>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w:t>
            </w:r>
          </w:p>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性质</w:t>
            </w:r>
          </w:p>
        </w:tc>
        <w:tc>
          <w:tcPr>
            <w:tcW w:w="726" w:type="pct"/>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课程代码</w:t>
            </w:r>
          </w:p>
        </w:tc>
        <w:tc>
          <w:tcPr>
            <w:tcW w:w="708" w:type="pct"/>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学分/学时</w:t>
            </w:r>
          </w:p>
        </w:tc>
        <w:tc>
          <w:tcPr>
            <w:tcW w:w="786" w:type="pct"/>
            <w:vAlign w:val="center"/>
          </w:tcPr>
          <w:p>
            <w:pPr>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军事技能</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11020001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2/112</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大学生安全教育（一）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95020008</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0.25/4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大学生安全教育（二）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95020009</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0.25/4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大学生安全教育（三）</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95020010</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0.25/4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5</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大学生安全教育（四）</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95020011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0.25/4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6</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大学生安全教育（五）</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95020012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0.25/4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7</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大学生安全教育（六）</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95020013</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0.25/4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8</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马克思主义基本原理</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49020032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9</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中国近现代史纲要</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49020003</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10</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中华民族共同体概论</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49020021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2/36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军事理论</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11020002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2/36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12</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形势与政策（一）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49020026</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0.33/8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13</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形势与政策（二）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49020027</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0.33/8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14</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形势与政策（三）</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49020028</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0.33/8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15</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形势与政策（四）</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49020029</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0.33/8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16</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形势与政策（五）</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49020030</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0.33/8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17</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形势与政策（六）</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49020031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0.33/8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18</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思想道德与法治</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49020001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19</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国家安全教育</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333333"/>
                <w:kern w:val="0"/>
                <w:sz w:val="18"/>
                <w:szCs w:val="18"/>
                <w:lang w:bidi="ar"/>
              </w:rPr>
              <w:t>49020020</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1.5/24</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20</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毛泽东思想和中国特色社会主义理论体系概论</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49020033</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2/32</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21</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习近平新时代中国特色社会主义思想概论</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49020005</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22</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大学生心理健康教育（一）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23</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大学生心理健康教育（二）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22020053</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24</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大学生职业发展与就业指导（一）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22020054</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25</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大学生创新与创业实务（一）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22020056</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26</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大学生职业发展与就业指导（二）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22020055</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27</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大学生创新与创业实务（二）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22020057</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28</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大学体育（一）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22020058</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1.5/36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29</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大学体育（二）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22020059</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1.5/36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30</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大学体育（三）</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22020060</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1.5/36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31</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大学体育（四）</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22020061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1.5/36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32</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大学英语（一）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22020062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33</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大学英语（二）</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22020063</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4"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信息技术</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17020066</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3/48</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35</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艺术修养</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21020001</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2/32</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36</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人工智能应用基础</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必修课</w:t>
            </w:r>
          </w:p>
        </w:tc>
        <w:tc>
          <w:tcPr>
            <w:tcW w:w="7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17020002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2/32</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604"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37</w:t>
            </w:r>
          </w:p>
        </w:tc>
        <w:tc>
          <w:tcPr>
            <w:tcW w:w="15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中国共产党简史、社会主义发展史、新中国史、改革开放史</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限定选修课</w:t>
            </w:r>
          </w:p>
        </w:tc>
        <w:tc>
          <w:tcPr>
            <w:tcW w:w="7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49020019</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604" w:type="pct"/>
            <w:vAlign w:val="center"/>
          </w:tcPr>
          <w:p>
            <w:pPr>
              <w:widowControl/>
              <w:jc w:val="center"/>
              <w:textAlignment w:val="center"/>
              <w:rPr>
                <w:rFonts w:hint="eastAsia" w:ascii="仿宋_GB2312" w:hAnsi="仿宋_GB2312" w:eastAsia="仿宋_GB2312" w:cs="仿宋_GB2312"/>
                <w:sz w:val="22"/>
              </w:rPr>
            </w:pPr>
            <w:r>
              <w:rPr>
                <w:rFonts w:hint="eastAsia" w:ascii="仿宋_GB2312" w:hAnsi="仿宋_GB2312" w:eastAsia="仿宋_GB2312" w:cs="仿宋_GB2312"/>
                <w:sz w:val="22"/>
              </w:rPr>
              <w:t>38</w:t>
            </w:r>
          </w:p>
        </w:tc>
        <w:tc>
          <w:tcPr>
            <w:tcW w:w="1526" w:type="pct"/>
            <w:vAlign w:val="center"/>
          </w:tcPr>
          <w:p>
            <w:pPr>
              <w:widowControl/>
              <w:jc w:val="left"/>
              <w:textAlignment w:val="center"/>
              <w:rPr>
                <w:rFonts w:hint="eastAsia" w:ascii="仿宋_GB2312" w:hAnsi="仿宋_GB2312" w:eastAsia="仿宋_GB2312" w:cs="仿宋_GB2312"/>
                <w:sz w:val="22"/>
              </w:rPr>
            </w:pPr>
            <w:r>
              <w:rPr>
                <w:rFonts w:hint="eastAsia" w:ascii="仿宋_GB2312" w:hAnsi="仿宋_GB2312" w:eastAsia="仿宋_GB2312" w:cs="仿宋_GB2312"/>
                <w:color w:val="000000"/>
                <w:kern w:val="0"/>
                <w:sz w:val="22"/>
                <w:szCs w:val="22"/>
                <w:lang w:bidi="ar"/>
              </w:rPr>
              <w:t>通用礼仪</w:t>
            </w:r>
          </w:p>
        </w:tc>
        <w:tc>
          <w:tcPr>
            <w:tcW w:w="647"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限定选修课</w:t>
            </w:r>
          </w:p>
        </w:tc>
        <w:tc>
          <w:tcPr>
            <w:tcW w:w="72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22020022</w:t>
            </w:r>
          </w:p>
        </w:tc>
        <w:tc>
          <w:tcPr>
            <w:tcW w:w="708"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1/16</w:t>
            </w:r>
          </w:p>
        </w:tc>
        <w:tc>
          <w:tcPr>
            <w:tcW w:w="786" w:type="pct"/>
            <w:vAlign w:val="center"/>
          </w:tcPr>
          <w:p>
            <w:pPr>
              <w:pStyle w:val="37"/>
              <w:rPr>
                <w:rFonts w:hint="eastAsia" w:ascii="仿宋_GB2312" w:hAnsi="仿宋_GB2312" w:eastAsia="仿宋_GB2312" w:cs="仿宋_GB2312"/>
                <w:sz w:val="22"/>
              </w:rPr>
            </w:pPr>
            <w:r>
              <w:rPr>
                <w:rFonts w:hint="eastAsia" w:ascii="仿宋_GB2312" w:hAnsi="仿宋_GB2312" w:eastAsia="仿宋_GB2312" w:cs="仿宋_GB2312"/>
                <w:sz w:val="22"/>
              </w:rPr>
              <w:t>1</w:t>
            </w:r>
          </w:p>
        </w:tc>
      </w:tr>
    </w:tbl>
    <w:p>
      <w:pPr>
        <w:pStyle w:val="2"/>
      </w:pPr>
    </w:p>
    <w:p>
      <w:pPr>
        <w:pStyle w:val="4"/>
        <w:spacing w:line="240" w:lineRule="auto"/>
        <w:ind w:firstLine="560"/>
        <w:rPr>
          <w:rFonts w:hint="eastAsia" w:ascii="宋体" w:hAnsi="宋体" w:eastAsia="宋体" w:cs="宋体"/>
          <w:bCs/>
          <w:szCs w:val="21"/>
        </w:rPr>
      </w:pPr>
      <w:r>
        <w:rPr>
          <w:rFonts w:hint="eastAsia" w:ascii="宋体" w:hAnsi="宋体" w:eastAsia="宋体" w:cs="宋体"/>
          <w:bCs/>
          <w:szCs w:val="21"/>
        </w:rPr>
        <w:t>2. 专业教育课程安排</w:t>
      </w:r>
    </w:p>
    <w:p/>
    <w:p>
      <w:pPr>
        <w:pStyle w:val="38"/>
        <w:rPr>
          <w:rFonts w:ascii="Times New Roman" w:hAnsi="Times New Roman" w:eastAsia="仿宋_GB2312" w:cs="Times New Roman"/>
          <w:sz w:val="24"/>
        </w:rPr>
      </w:pPr>
      <w:r>
        <w:rPr>
          <w:rFonts w:hint="eastAsia" w:ascii="Times New Roman" w:hAnsi="Times New Roman" w:eastAsia="仿宋_GB2312" w:cs="Times New Roman"/>
          <w:sz w:val="24"/>
        </w:rPr>
        <w:t>表 专业教育课程安排表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481"/>
        <w:gridCol w:w="1122"/>
        <w:gridCol w:w="1181"/>
        <w:gridCol w:w="1192"/>
        <w:gridCol w:w="14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846" w:type="dxa"/>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序号</w:t>
            </w:r>
          </w:p>
        </w:tc>
        <w:tc>
          <w:tcPr>
            <w:tcW w:w="2481" w:type="dxa"/>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课程名称</w:t>
            </w:r>
          </w:p>
        </w:tc>
        <w:tc>
          <w:tcPr>
            <w:tcW w:w="1122" w:type="dxa"/>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课程性质</w:t>
            </w:r>
          </w:p>
        </w:tc>
        <w:tc>
          <w:tcPr>
            <w:tcW w:w="1181" w:type="dxa"/>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课程代码</w:t>
            </w:r>
          </w:p>
        </w:tc>
        <w:tc>
          <w:tcPr>
            <w:tcW w:w="1192" w:type="dxa"/>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学分/学时</w:t>
            </w:r>
          </w:p>
        </w:tc>
        <w:tc>
          <w:tcPr>
            <w:tcW w:w="1449" w:type="dxa"/>
            <w:vAlign w:val="center"/>
          </w:tcPr>
          <w:p>
            <w:pPr>
              <w:spacing w:line="280" w:lineRule="exact"/>
              <w:jc w:val="center"/>
              <w:rPr>
                <w:rFonts w:hint="eastAsia" w:ascii="仿宋_GB2312" w:hAnsi="仿宋_GB2312" w:eastAsia="仿宋_GB2312" w:cs="仿宋_GB2312"/>
                <w:b/>
                <w:bCs/>
                <w:szCs w:val="16"/>
              </w:rPr>
            </w:pPr>
            <w:r>
              <w:rPr>
                <w:rFonts w:hint="eastAsia" w:ascii="仿宋_GB2312" w:hAnsi="仿宋_GB2312" w:eastAsia="仿宋_GB2312" w:cs="仿宋_GB2312"/>
                <w:b/>
                <w:bCs/>
                <w:szCs w:val="16"/>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经济数学</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fldChar w:fldCharType="begin"/>
            </w:r>
            <w:r>
              <w:rPr>
                <w:rFonts w:hint="eastAsia" w:ascii="仿宋_GB2312" w:hAnsi="仿宋_GB2312" w:eastAsia="仿宋_GB2312" w:cs="仿宋_GB2312"/>
              </w:rPr>
              <w:instrText xml:space="preserve"> HYPERLINK "javascript:void(0);" </w:instrText>
            </w:r>
            <w:r>
              <w:rPr>
                <w:rFonts w:hint="eastAsia" w:ascii="仿宋_GB2312" w:hAnsi="仿宋_GB2312" w:eastAsia="仿宋_GB2312" w:cs="仿宋_GB2312"/>
              </w:rPr>
              <w:fldChar w:fldCharType="separate"/>
            </w:r>
            <w:r>
              <w:rPr>
                <w:rFonts w:hint="eastAsia" w:ascii="仿宋_GB2312" w:hAnsi="仿宋_GB2312" w:eastAsia="仿宋_GB2312" w:cs="仿宋_GB2312"/>
              </w:rPr>
              <w:t>22020066</w:t>
            </w:r>
            <w:r>
              <w:rPr>
                <w:rFonts w:hint="eastAsia" w:ascii="仿宋_GB2312" w:hAnsi="仿宋_GB2312" w:eastAsia="仿宋_GB2312" w:cs="仿宋_GB2312"/>
              </w:rPr>
              <w:fldChar w:fldCharType="end"/>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4/64</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概率论与数理统计</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入学教育与专业入门</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95010006</w:t>
            </w:r>
            <w:r>
              <w:rPr>
                <w:rFonts w:hint="eastAsia" w:ascii="仿宋_GB2312" w:hAnsi="仿宋_GB2312" w:eastAsia="仿宋_GB2312" w:cs="仿宋_GB2312"/>
              </w:rPr>
              <w:tab/>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1/16</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智慧物流与供应链基础</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19020044</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管理运筹学</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19020046</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电工电子技术</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19020047</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2/32</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7</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物流大数据分析与应用</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19020048</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2/32</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8</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智慧仓储与配送管理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19020049</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5/80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9</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汽车零部件集配作业管理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19020050</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4/64</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10</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智慧运输运营</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19020051</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4/64</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11</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汽车工业物流规划设计</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19020052</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6/96</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12</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制造企业采购管理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19020053</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4/64</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13</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数智供应链技术</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19020054</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5/80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14</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智能物流设施设备应用技术</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19020055</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5/80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15</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物流成本与绩效管理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19020056</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16</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企业班组建设与管理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19020057</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17</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低空物流运营管理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19020058</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5/80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18</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物流数字化管理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19020059</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4/64</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19</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物流项目运营</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kern w:val="0"/>
                <w:sz w:val="22"/>
                <w:szCs w:val="22"/>
                <w:lang w:bidi="ar"/>
              </w:rPr>
              <w:t>19020071</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1/16</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20</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劳动教育—工业·匠心</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19020060</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1/32</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21</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课程设计1：物流综合作业方案设计</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19020061</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1/30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22</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课程设计2：汽车智能物流规划设计与评估实施</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19020062</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1/30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23</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课程设计3：供应链建模与网络优化</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19020063</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1/30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24</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课程设计4：智能物流装备联动方案设计</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19020064</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1/30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szCs w:val="21"/>
              </w:rPr>
            </w:pPr>
            <w:r>
              <w:rPr>
                <w:rFonts w:hint="eastAsia" w:ascii="仿宋_GB2312" w:hAnsi="仿宋_GB2312" w:eastAsia="仿宋_GB2312" w:cs="仿宋_GB2312"/>
              </w:rPr>
              <w:t>25</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毕业设计</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19020065</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5/120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26</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综合实践</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19020066</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8/240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27</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岗位实习</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必修课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19020067</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8/240</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28</w:t>
            </w:r>
          </w:p>
        </w:tc>
        <w:tc>
          <w:tcPr>
            <w:tcW w:w="2481" w:type="dxa"/>
            <w:vAlign w:val="center"/>
          </w:tcPr>
          <w:p>
            <w:pPr>
              <w:pStyle w:val="37"/>
              <w:rPr>
                <w:rFonts w:hint="eastAsia" w:ascii="仿宋_GB2312" w:hAnsi="仿宋_GB2312" w:eastAsia="仿宋_GB2312" w:cs="仿宋_GB2312"/>
                <w:szCs w:val="21"/>
              </w:rPr>
            </w:pPr>
            <w:r>
              <w:rPr>
                <w:rFonts w:hint="eastAsia" w:ascii="仿宋_GB2312" w:hAnsi="仿宋_GB2312" w:eastAsia="仿宋_GB2312" w:cs="仿宋_GB2312"/>
              </w:rPr>
              <w:t>工业包装设计与应用</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选修课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19020068</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4/64</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29</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国际货运代理</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选修课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19020024</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2/32</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30</w:t>
            </w:r>
          </w:p>
        </w:tc>
        <w:tc>
          <w:tcPr>
            <w:tcW w:w="2481" w:type="dxa"/>
            <w:vAlign w:val="center"/>
          </w:tcPr>
          <w:p>
            <w:pPr>
              <w:pStyle w:val="37"/>
              <w:rPr>
                <w:rFonts w:hint="eastAsia" w:ascii="仿宋_GB2312" w:hAnsi="仿宋_GB2312" w:eastAsia="仿宋_GB2312" w:cs="仿宋_GB2312"/>
                <w:sz w:val="20"/>
                <w:szCs w:val="20"/>
              </w:rPr>
            </w:pPr>
            <w:r>
              <w:rPr>
                <w:rFonts w:hint="eastAsia" w:ascii="仿宋_GB2312" w:hAnsi="仿宋_GB2312" w:eastAsia="仿宋_GB2312" w:cs="仿宋_GB2312"/>
              </w:rPr>
              <w:t>汽车出口物流实务</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选修课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19020069</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846"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31</w:t>
            </w:r>
          </w:p>
        </w:tc>
        <w:tc>
          <w:tcPr>
            <w:tcW w:w="2481"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叉车驾驶技术</w:t>
            </w:r>
          </w:p>
        </w:tc>
        <w:tc>
          <w:tcPr>
            <w:tcW w:w="112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选修课</w:t>
            </w:r>
          </w:p>
        </w:tc>
        <w:tc>
          <w:tcPr>
            <w:tcW w:w="1181" w:type="dxa"/>
            <w:vAlign w:val="center"/>
          </w:tcPr>
          <w:p>
            <w:pPr>
              <w:widowControl/>
              <w:jc w:val="right"/>
              <w:textAlignment w:val="center"/>
              <w:rPr>
                <w:rFonts w:hint="eastAsia" w:ascii="仿宋_GB2312" w:hAnsi="仿宋_GB2312" w:eastAsia="仿宋_GB2312" w:cs="仿宋_GB2312"/>
              </w:rPr>
            </w:pPr>
            <w:r>
              <w:rPr>
                <w:rFonts w:hint="eastAsia" w:ascii="仿宋_GB2312" w:hAnsi="仿宋_GB2312" w:eastAsia="仿宋_GB2312" w:cs="仿宋_GB2312"/>
                <w:color w:val="000000"/>
                <w:kern w:val="0"/>
                <w:sz w:val="22"/>
                <w:szCs w:val="22"/>
                <w:lang w:bidi="ar"/>
              </w:rPr>
              <w:t>19020070</w:t>
            </w:r>
          </w:p>
        </w:tc>
        <w:tc>
          <w:tcPr>
            <w:tcW w:w="1192"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3/48</w:t>
            </w:r>
          </w:p>
        </w:tc>
        <w:tc>
          <w:tcPr>
            <w:tcW w:w="1449" w:type="dxa"/>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r>
    </w:tbl>
    <w:p>
      <w:pPr>
        <w:pStyle w:val="2"/>
        <w:spacing w:line="440" w:lineRule="exact"/>
        <w:ind w:firstLine="440" w:firstLineChars="200"/>
        <w:rPr>
          <w:rFonts w:hint="eastAsia" w:ascii="仿宋_GB2312" w:hAnsi="仿宋_GB2312" w:eastAsia="仿宋_GB2312" w:cs="仿宋_GB2312"/>
          <w:b w:val="0"/>
          <w:bCs/>
          <w:sz w:val="22"/>
          <w:szCs w:val="28"/>
        </w:rPr>
      </w:pPr>
      <w:r>
        <w:rPr>
          <w:rFonts w:hint="eastAsia" w:ascii="仿宋_GB2312" w:hAnsi="仿宋_GB2312" w:eastAsia="仿宋_GB2312" w:cs="仿宋_GB2312"/>
          <w:b w:val="0"/>
          <w:bCs/>
          <w:sz w:val="22"/>
          <w:szCs w:val="28"/>
        </w:rPr>
        <w:t>注：限定选修课（含专业限定选修课）学生应修读并获得相应学分。《经济数学》财经商贸类专业必修，《高等数学》理工类专业必修，《线性代数》理工类专业必修；财经商贸类专业选修。</w:t>
      </w:r>
    </w:p>
    <w:p>
      <w:pPr>
        <w:pStyle w:val="2"/>
        <w:ind w:firstLine="562" w:firstLineChars="200"/>
        <w:rPr>
          <w:rFonts w:hint="eastAsia" w:ascii="仿宋_GB2312" w:hAnsi="仿宋_GB2312" w:eastAsia="仿宋_GB2312" w:cs="仿宋_GB2312"/>
          <w:sz w:val="28"/>
          <w:szCs w:val="36"/>
        </w:rPr>
      </w:pPr>
      <w:r>
        <w:rPr>
          <w:rFonts w:hint="eastAsia" w:ascii="仿宋_GB2312" w:hAnsi="仿宋_GB2312" w:eastAsia="仿宋_GB2312" w:cs="仿宋_GB2312"/>
          <w:sz w:val="28"/>
          <w:szCs w:val="36"/>
        </w:rPr>
        <w:t>（四）第二课堂活动安排</w:t>
      </w:r>
      <w:bookmarkEnd w:id="20"/>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1.通识教育模块第二课堂活动安排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（详见“十、附录  （二）第二课堂活动安排”）</w:t>
      </w:r>
    </w:p>
    <w:p>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2.专业教育模块第二课堂活动安排</w:t>
      </w:r>
    </w:p>
    <w:p>
      <w:pPr>
        <w:pStyle w:val="6"/>
        <w:jc w:val="center"/>
        <w:rPr>
          <w:rFonts w:hint="eastAsia" w:ascii="仿宋" w:hAnsi="仿宋" w:eastAsia="仿宋" w:cs="仿宋"/>
          <w:b/>
          <w:bCs/>
          <w:sz w:val="24"/>
          <w:szCs w:val="24"/>
        </w:rPr>
      </w:pPr>
      <w:r>
        <w:rPr>
          <w:rFonts w:hint="eastAsia" w:ascii="仿宋" w:hAnsi="仿宋" w:eastAsia="仿宋" w:cs="仿宋"/>
          <w:b/>
          <w:bCs/>
          <w:sz w:val="24"/>
          <w:szCs w:val="24"/>
        </w:rPr>
        <w:t>表 专业教育模块第二课堂活动安排表</w:t>
      </w:r>
    </w:p>
    <w:tbl>
      <w:tblPr>
        <w:tblStyle w:val="15"/>
        <w:tblW w:w="80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7"/>
        <w:gridCol w:w="2457"/>
        <w:gridCol w:w="677"/>
        <w:gridCol w:w="426"/>
        <w:gridCol w:w="426"/>
        <w:gridCol w:w="426"/>
        <w:gridCol w:w="426"/>
        <w:gridCol w:w="337"/>
        <w:gridCol w:w="426"/>
        <w:gridCol w:w="426"/>
        <w:gridCol w:w="337"/>
        <w:gridCol w:w="11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0" w:type="auto"/>
            <w:vMerge w:val="restart"/>
            <w:vAlign w:val="center"/>
          </w:tcPr>
          <w:p>
            <w:pPr>
              <w:pStyle w:val="2"/>
              <w:spacing w:line="360" w:lineRule="auto"/>
              <w:jc w:val="center"/>
              <w:rPr>
                <w:rFonts w:hint="eastAsia" w:ascii="仿宋_GB2312" w:hAnsi="仿宋_GB2312" w:eastAsia="仿宋_GB2312" w:cs="仿宋_GB2312"/>
                <w:sz w:val="24"/>
              </w:rPr>
            </w:pPr>
            <w:bookmarkStart w:id="21" w:name="_Toc0"/>
            <w:bookmarkStart w:id="22" w:name="_Toc4696"/>
            <w:r>
              <w:rPr>
                <w:rFonts w:hint="eastAsia" w:ascii="仿宋_GB2312" w:hAnsi="仿宋_GB2312" w:eastAsia="仿宋_GB2312" w:cs="仿宋_GB2312"/>
                <w:sz w:val="24"/>
              </w:rPr>
              <w:t>序号</w:t>
            </w:r>
            <w:bookmarkEnd w:id="21"/>
            <w:bookmarkEnd w:id="22"/>
          </w:p>
        </w:tc>
        <w:tc>
          <w:tcPr>
            <w:tcW w:w="0" w:type="auto"/>
            <w:vMerge w:val="restart"/>
            <w:vAlign w:val="center"/>
          </w:tcPr>
          <w:p>
            <w:pPr>
              <w:pStyle w:val="2"/>
              <w:spacing w:line="360" w:lineRule="auto"/>
              <w:jc w:val="center"/>
              <w:rPr>
                <w:rFonts w:hint="eastAsia" w:ascii="仿宋_GB2312" w:hAnsi="仿宋_GB2312" w:eastAsia="仿宋_GB2312" w:cs="仿宋_GB2312"/>
                <w:sz w:val="24"/>
              </w:rPr>
            </w:pPr>
            <w:bookmarkStart w:id="23" w:name="_Toc28053"/>
            <w:bookmarkStart w:id="24" w:name="_Toc10937"/>
            <w:r>
              <w:rPr>
                <w:rFonts w:hint="eastAsia" w:ascii="仿宋_GB2312" w:hAnsi="仿宋_GB2312" w:eastAsia="仿宋_GB2312" w:cs="仿宋_GB2312"/>
                <w:sz w:val="24"/>
              </w:rPr>
              <w:t>活动名称</w:t>
            </w:r>
            <w:bookmarkEnd w:id="23"/>
            <w:bookmarkEnd w:id="24"/>
          </w:p>
        </w:tc>
        <w:tc>
          <w:tcPr>
            <w:tcW w:w="0" w:type="auto"/>
            <w:vMerge w:val="restart"/>
            <w:vAlign w:val="center"/>
          </w:tcPr>
          <w:p>
            <w:pPr>
              <w:pStyle w:val="2"/>
              <w:spacing w:line="360" w:lineRule="auto"/>
              <w:jc w:val="center"/>
              <w:rPr>
                <w:rFonts w:hint="eastAsia" w:ascii="仿宋_GB2312" w:hAnsi="仿宋_GB2312" w:eastAsia="仿宋_GB2312" w:cs="仿宋_GB2312"/>
                <w:sz w:val="24"/>
              </w:rPr>
            </w:pPr>
            <w:bookmarkStart w:id="25" w:name="_Toc21917"/>
            <w:bookmarkStart w:id="26" w:name="_Toc23007"/>
            <w:r>
              <w:rPr>
                <w:rFonts w:hint="eastAsia" w:ascii="仿宋_GB2312" w:hAnsi="仿宋_GB2312" w:eastAsia="仿宋_GB2312" w:cs="仿宋_GB2312"/>
                <w:sz w:val="24"/>
              </w:rPr>
              <w:t>活动分</w:t>
            </w:r>
            <w:bookmarkEnd w:id="25"/>
            <w:bookmarkEnd w:id="26"/>
          </w:p>
        </w:tc>
        <w:tc>
          <w:tcPr>
            <w:tcW w:w="0" w:type="auto"/>
            <w:gridSpan w:val="8"/>
            <w:vAlign w:val="center"/>
          </w:tcPr>
          <w:p>
            <w:pPr>
              <w:pStyle w:val="2"/>
              <w:spacing w:line="360" w:lineRule="auto"/>
              <w:jc w:val="center"/>
              <w:rPr>
                <w:rFonts w:hint="eastAsia" w:ascii="仿宋_GB2312" w:hAnsi="仿宋_GB2312" w:eastAsia="仿宋_GB2312" w:cs="仿宋_GB2312"/>
                <w:sz w:val="24"/>
              </w:rPr>
            </w:pPr>
            <w:bookmarkStart w:id="27" w:name="_Toc31724"/>
            <w:bookmarkStart w:id="28" w:name="_Toc9657"/>
            <w:r>
              <w:rPr>
                <w:rFonts w:hint="eastAsia" w:ascii="仿宋_GB2312" w:hAnsi="仿宋_GB2312" w:eastAsia="仿宋_GB2312" w:cs="仿宋_GB2312"/>
                <w:sz w:val="24"/>
              </w:rPr>
              <w:t>学期安排</w:t>
            </w:r>
            <w:bookmarkEnd w:id="27"/>
            <w:bookmarkEnd w:id="28"/>
          </w:p>
        </w:tc>
        <w:tc>
          <w:tcPr>
            <w:tcW w:w="0" w:type="auto"/>
            <w:vMerge w:val="restart"/>
            <w:vAlign w:val="center"/>
          </w:tcPr>
          <w:p>
            <w:pPr>
              <w:pStyle w:val="2"/>
              <w:spacing w:line="360" w:lineRule="auto"/>
              <w:jc w:val="center"/>
              <w:rPr>
                <w:rFonts w:hint="eastAsia" w:ascii="仿宋_GB2312" w:hAnsi="仿宋_GB2312" w:eastAsia="仿宋_GB2312" w:cs="仿宋_GB2312"/>
                <w:sz w:val="24"/>
              </w:rPr>
            </w:pPr>
            <w:bookmarkStart w:id="29" w:name="_Toc31866"/>
            <w:bookmarkStart w:id="30" w:name="_Toc3833"/>
            <w:r>
              <w:rPr>
                <w:rFonts w:hint="eastAsia" w:ascii="仿宋_GB2312" w:hAnsi="仿宋_GB2312" w:eastAsia="仿宋_GB2312" w:cs="仿宋_GB2312"/>
                <w:sz w:val="24"/>
              </w:rPr>
              <w:t>组织实施部门</w:t>
            </w:r>
            <w:bookmarkEnd w:id="29"/>
            <w:bookmarkEnd w:id="3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atLeast"/>
          <w:jc w:val="center"/>
        </w:trPr>
        <w:tc>
          <w:tcPr>
            <w:tcW w:w="0" w:type="auto"/>
            <w:vMerge w:val="continue"/>
            <w:vAlign w:val="center"/>
          </w:tcPr>
          <w:p>
            <w:pPr>
              <w:pStyle w:val="2"/>
              <w:spacing w:line="360" w:lineRule="auto"/>
              <w:jc w:val="center"/>
              <w:rPr>
                <w:rFonts w:hint="eastAsia" w:ascii="仿宋_GB2312" w:hAnsi="仿宋_GB2312" w:eastAsia="仿宋_GB2312" w:cs="仿宋_GB2312"/>
                <w:sz w:val="24"/>
              </w:rPr>
            </w:pPr>
          </w:p>
        </w:tc>
        <w:tc>
          <w:tcPr>
            <w:tcW w:w="0" w:type="auto"/>
            <w:vMerge w:val="continue"/>
            <w:vAlign w:val="center"/>
          </w:tcPr>
          <w:p>
            <w:pPr>
              <w:pStyle w:val="2"/>
              <w:spacing w:line="360" w:lineRule="auto"/>
              <w:jc w:val="center"/>
              <w:rPr>
                <w:rFonts w:hint="eastAsia" w:ascii="仿宋_GB2312" w:hAnsi="仿宋_GB2312" w:eastAsia="仿宋_GB2312" w:cs="仿宋_GB2312"/>
                <w:sz w:val="24"/>
              </w:rPr>
            </w:pPr>
          </w:p>
        </w:tc>
        <w:tc>
          <w:tcPr>
            <w:tcW w:w="0" w:type="auto"/>
            <w:vMerge w:val="continue"/>
            <w:vAlign w:val="center"/>
          </w:tcPr>
          <w:p>
            <w:pPr>
              <w:pStyle w:val="2"/>
              <w:spacing w:line="360" w:lineRule="auto"/>
              <w:jc w:val="center"/>
              <w:rPr>
                <w:rFonts w:hint="eastAsia" w:ascii="仿宋_GB2312" w:hAnsi="仿宋_GB2312" w:eastAsia="仿宋_GB2312" w:cs="仿宋_GB2312"/>
                <w:sz w:val="24"/>
              </w:rPr>
            </w:pPr>
          </w:p>
        </w:tc>
        <w:tc>
          <w:tcPr>
            <w:tcW w:w="0" w:type="auto"/>
            <w:vAlign w:val="center"/>
          </w:tcPr>
          <w:p>
            <w:pPr>
              <w:pStyle w:val="2"/>
              <w:spacing w:line="360" w:lineRule="auto"/>
              <w:jc w:val="center"/>
              <w:rPr>
                <w:rFonts w:hint="eastAsia" w:ascii="仿宋_GB2312" w:hAnsi="仿宋_GB2312" w:eastAsia="仿宋_GB2312" w:cs="仿宋_GB2312"/>
                <w:sz w:val="24"/>
              </w:rPr>
            </w:pPr>
            <w:bookmarkStart w:id="31" w:name="_Toc4898"/>
            <w:bookmarkStart w:id="32" w:name="_Toc17387"/>
            <w:r>
              <w:rPr>
                <w:rFonts w:hint="eastAsia" w:ascii="仿宋_GB2312" w:hAnsi="仿宋_GB2312" w:eastAsia="仿宋_GB2312" w:cs="仿宋_GB2312"/>
                <w:sz w:val="24"/>
              </w:rPr>
              <w:t>1</w:t>
            </w:r>
            <w:bookmarkEnd w:id="31"/>
            <w:bookmarkEnd w:id="32"/>
          </w:p>
        </w:tc>
        <w:tc>
          <w:tcPr>
            <w:tcW w:w="0" w:type="auto"/>
            <w:vAlign w:val="center"/>
          </w:tcPr>
          <w:p>
            <w:pPr>
              <w:pStyle w:val="2"/>
              <w:spacing w:line="360" w:lineRule="auto"/>
              <w:jc w:val="center"/>
              <w:rPr>
                <w:rFonts w:hint="eastAsia" w:ascii="仿宋_GB2312" w:hAnsi="仿宋_GB2312" w:eastAsia="仿宋_GB2312" w:cs="仿宋_GB2312"/>
                <w:sz w:val="24"/>
              </w:rPr>
            </w:pPr>
            <w:bookmarkStart w:id="33" w:name="_Toc26535"/>
            <w:bookmarkStart w:id="34" w:name="_Toc5098"/>
            <w:r>
              <w:rPr>
                <w:rFonts w:hint="eastAsia" w:ascii="仿宋_GB2312" w:hAnsi="仿宋_GB2312" w:eastAsia="仿宋_GB2312" w:cs="仿宋_GB2312"/>
                <w:sz w:val="24"/>
              </w:rPr>
              <w:t>2</w:t>
            </w:r>
            <w:bookmarkEnd w:id="33"/>
            <w:bookmarkEnd w:id="34"/>
          </w:p>
        </w:tc>
        <w:tc>
          <w:tcPr>
            <w:tcW w:w="0" w:type="auto"/>
            <w:vAlign w:val="center"/>
          </w:tcPr>
          <w:p>
            <w:pPr>
              <w:pStyle w:val="2"/>
              <w:spacing w:line="360" w:lineRule="auto"/>
              <w:jc w:val="center"/>
              <w:rPr>
                <w:rFonts w:hint="eastAsia" w:ascii="仿宋_GB2312" w:hAnsi="仿宋_GB2312" w:eastAsia="仿宋_GB2312" w:cs="仿宋_GB2312"/>
                <w:sz w:val="24"/>
              </w:rPr>
            </w:pPr>
            <w:bookmarkStart w:id="35" w:name="_Toc23100"/>
            <w:bookmarkStart w:id="36" w:name="_Toc14005"/>
            <w:r>
              <w:rPr>
                <w:rFonts w:hint="eastAsia" w:ascii="仿宋_GB2312" w:hAnsi="仿宋_GB2312" w:eastAsia="仿宋_GB2312" w:cs="仿宋_GB2312"/>
                <w:sz w:val="24"/>
              </w:rPr>
              <w:t>3</w:t>
            </w:r>
            <w:bookmarkEnd w:id="35"/>
            <w:bookmarkEnd w:id="36"/>
          </w:p>
        </w:tc>
        <w:tc>
          <w:tcPr>
            <w:tcW w:w="0" w:type="auto"/>
            <w:vAlign w:val="center"/>
          </w:tcPr>
          <w:p>
            <w:pPr>
              <w:pStyle w:val="2"/>
              <w:spacing w:line="360" w:lineRule="auto"/>
              <w:jc w:val="center"/>
              <w:rPr>
                <w:rFonts w:hint="eastAsia" w:ascii="仿宋_GB2312" w:hAnsi="仿宋_GB2312" w:eastAsia="仿宋_GB2312" w:cs="仿宋_GB2312"/>
                <w:sz w:val="24"/>
              </w:rPr>
            </w:pPr>
            <w:bookmarkStart w:id="37" w:name="_Toc24949"/>
            <w:bookmarkStart w:id="38" w:name="_Toc7154"/>
            <w:r>
              <w:rPr>
                <w:rFonts w:hint="eastAsia" w:ascii="仿宋_GB2312" w:hAnsi="仿宋_GB2312" w:eastAsia="仿宋_GB2312" w:cs="仿宋_GB2312"/>
                <w:sz w:val="24"/>
              </w:rPr>
              <w:t>4</w:t>
            </w:r>
            <w:bookmarkEnd w:id="37"/>
            <w:bookmarkEnd w:id="38"/>
          </w:p>
        </w:tc>
        <w:tc>
          <w:tcPr>
            <w:tcW w:w="0" w:type="auto"/>
            <w:vAlign w:val="center"/>
          </w:tcPr>
          <w:p>
            <w:pPr>
              <w:pStyle w:val="2"/>
              <w:spacing w:line="360" w:lineRule="auto"/>
              <w:jc w:val="center"/>
              <w:rPr>
                <w:rFonts w:hint="eastAsia" w:ascii="仿宋_GB2312" w:hAnsi="仿宋_GB2312" w:eastAsia="仿宋_GB2312" w:cs="仿宋_GB2312"/>
                <w:sz w:val="24"/>
              </w:rPr>
            </w:pPr>
            <w:bookmarkStart w:id="39" w:name="_Toc3262"/>
            <w:bookmarkStart w:id="40" w:name="_Toc1383"/>
            <w:r>
              <w:rPr>
                <w:rFonts w:hint="eastAsia" w:ascii="仿宋_GB2312" w:hAnsi="仿宋_GB2312" w:eastAsia="仿宋_GB2312" w:cs="仿宋_GB2312"/>
                <w:sz w:val="24"/>
              </w:rPr>
              <w:t>5</w:t>
            </w:r>
            <w:bookmarkEnd w:id="39"/>
            <w:bookmarkEnd w:id="40"/>
          </w:p>
        </w:tc>
        <w:tc>
          <w:tcPr>
            <w:tcW w:w="0" w:type="auto"/>
            <w:vAlign w:val="center"/>
          </w:tcPr>
          <w:p>
            <w:pPr>
              <w:pStyle w:val="2"/>
              <w:spacing w:line="360" w:lineRule="auto"/>
              <w:jc w:val="center"/>
              <w:rPr>
                <w:rFonts w:hint="eastAsia" w:ascii="仿宋_GB2312" w:hAnsi="仿宋_GB2312" w:eastAsia="仿宋_GB2312" w:cs="仿宋_GB2312"/>
                <w:sz w:val="24"/>
              </w:rPr>
            </w:pPr>
            <w:bookmarkStart w:id="41" w:name="_Toc10542"/>
            <w:bookmarkStart w:id="42" w:name="_Toc31943"/>
            <w:r>
              <w:rPr>
                <w:rFonts w:hint="eastAsia" w:ascii="仿宋_GB2312" w:hAnsi="仿宋_GB2312" w:eastAsia="仿宋_GB2312" w:cs="仿宋_GB2312"/>
                <w:sz w:val="24"/>
              </w:rPr>
              <w:t>6</w:t>
            </w:r>
            <w:bookmarkEnd w:id="41"/>
            <w:bookmarkEnd w:id="42"/>
          </w:p>
        </w:tc>
        <w:tc>
          <w:tcPr>
            <w:tcW w:w="0" w:type="auto"/>
            <w:vAlign w:val="center"/>
          </w:tcPr>
          <w:p>
            <w:pPr>
              <w:pStyle w:val="2"/>
              <w:spacing w:line="360" w:lineRule="auto"/>
              <w:jc w:val="center"/>
              <w:rPr>
                <w:rFonts w:hint="eastAsia" w:ascii="仿宋_GB2312" w:hAnsi="仿宋_GB2312" w:eastAsia="仿宋_GB2312" w:cs="仿宋_GB2312"/>
                <w:sz w:val="24"/>
              </w:rPr>
            </w:pPr>
            <w:bookmarkStart w:id="43" w:name="_Toc23156"/>
            <w:bookmarkStart w:id="44" w:name="_Toc30928"/>
            <w:r>
              <w:rPr>
                <w:rFonts w:hint="eastAsia" w:ascii="仿宋_GB2312" w:hAnsi="仿宋_GB2312" w:eastAsia="仿宋_GB2312" w:cs="仿宋_GB2312"/>
                <w:sz w:val="24"/>
              </w:rPr>
              <w:t>7</w:t>
            </w:r>
            <w:bookmarkEnd w:id="43"/>
            <w:bookmarkEnd w:id="44"/>
          </w:p>
        </w:tc>
        <w:tc>
          <w:tcPr>
            <w:tcW w:w="0" w:type="auto"/>
            <w:vAlign w:val="center"/>
          </w:tcPr>
          <w:p>
            <w:pPr>
              <w:pStyle w:val="2"/>
              <w:spacing w:line="360" w:lineRule="auto"/>
              <w:jc w:val="center"/>
              <w:rPr>
                <w:rFonts w:hint="eastAsia" w:ascii="仿宋_GB2312" w:hAnsi="仿宋_GB2312" w:eastAsia="仿宋_GB2312" w:cs="仿宋_GB2312"/>
                <w:sz w:val="24"/>
              </w:rPr>
            </w:pPr>
            <w:bookmarkStart w:id="45" w:name="_Toc9716"/>
            <w:bookmarkStart w:id="46" w:name="_Toc20095"/>
            <w:r>
              <w:rPr>
                <w:rFonts w:hint="eastAsia" w:ascii="仿宋_GB2312" w:hAnsi="仿宋_GB2312" w:eastAsia="仿宋_GB2312" w:cs="仿宋_GB2312"/>
                <w:sz w:val="24"/>
              </w:rPr>
              <w:t>8</w:t>
            </w:r>
            <w:bookmarkEnd w:id="45"/>
            <w:bookmarkEnd w:id="46"/>
          </w:p>
        </w:tc>
        <w:tc>
          <w:tcPr>
            <w:tcW w:w="0" w:type="auto"/>
            <w:vMerge w:val="continue"/>
            <w:vAlign w:val="center"/>
          </w:tcPr>
          <w:p>
            <w:pPr>
              <w:pStyle w:val="2"/>
              <w:spacing w:line="360" w:lineRule="auto"/>
              <w:jc w:val="center"/>
              <w:rPr>
                <w:rFonts w:hint="eastAsia"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1</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企业优秀人才或优秀毕业生专业入门教育专题讲座</w:t>
            </w:r>
          </w:p>
        </w:tc>
        <w:tc>
          <w:tcPr>
            <w:tcW w:w="0" w:type="auto"/>
            <w:vAlign w:val="center"/>
          </w:tcPr>
          <w:p>
            <w:pPr>
              <w:pStyle w:val="2"/>
              <w:rPr>
                <w:rFonts w:hint="eastAsia" w:ascii="仿宋" w:hAnsi="仿宋" w:eastAsia="仿宋" w:cs="仿宋_GB2312"/>
                <w:b w:val="0"/>
                <w:bCs/>
              </w:rPr>
            </w:pPr>
            <w:r>
              <w:rPr>
                <w:rFonts w:ascii="仿宋" w:hAnsi="仿宋" w:eastAsia="仿宋"/>
                <w:b w:val="0"/>
                <w:bCs/>
                <w:szCs w:val="21"/>
              </w:rPr>
              <w:t>4</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现代物流管理专业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2</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生源地物流现状调研</w:t>
            </w:r>
          </w:p>
        </w:tc>
        <w:tc>
          <w:tcPr>
            <w:tcW w:w="0" w:type="auto"/>
            <w:vAlign w:val="center"/>
          </w:tcPr>
          <w:p>
            <w:pPr>
              <w:pStyle w:val="2"/>
              <w:rPr>
                <w:rFonts w:hint="eastAsia" w:ascii="仿宋" w:hAnsi="仿宋" w:eastAsia="仿宋" w:cs="仿宋_GB2312"/>
                <w:b w:val="0"/>
                <w:bCs/>
              </w:rPr>
            </w:pPr>
            <w:r>
              <w:rPr>
                <w:rFonts w:ascii="仿宋" w:hAnsi="仿宋" w:eastAsia="仿宋"/>
                <w:b w:val="0"/>
                <w:bCs/>
                <w:szCs w:val="21"/>
              </w:rPr>
              <w:t>8</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现代物流管理专业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3</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物流专题辩论赛</w:t>
            </w:r>
          </w:p>
        </w:tc>
        <w:tc>
          <w:tcPr>
            <w:tcW w:w="0" w:type="auto"/>
            <w:vAlign w:val="center"/>
          </w:tcPr>
          <w:p>
            <w:pPr>
              <w:pStyle w:val="2"/>
              <w:rPr>
                <w:rFonts w:hint="eastAsia" w:ascii="仿宋" w:hAnsi="仿宋" w:eastAsia="仿宋" w:cs="仿宋_GB2312"/>
                <w:b w:val="0"/>
                <w:bCs/>
              </w:rPr>
            </w:pPr>
            <w:r>
              <w:rPr>
                <w:rFonts w:ascii="仿宋" w:hAnsi="仿宋" w:eastAsia="仿宋"/>
                <w:b w:val="0"/>
                <w:bCs/>
                <w:szCs w:val="21"/>
              </w:rPr>
              <w:t>8</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现代物流管理专业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4</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企业专家专题讲座</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8</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现代物流管理专业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5</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供应链管理比赛</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8</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现代物流管理专业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6</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大学生物流设计大赛</w:t>
            </w: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8</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w:t>
            </w: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p>
        </w:tc>
        <w:tc>
          <w:tcPr>
            <w:tcW w:w="0" w:type="auto"/>
            <w:vAlign w:val="center"/>
          </w:tcPr>
          <w:p>
            <w:pPr>
              <w:pStyle w:val="2"/>
              <w:rPr>
                <w:rFonts w:hint="eastAsia" w:ascii="仿宋" w:hAnsi="仿宋" w:eastAsia="仿宋" w:cs="仿宋_GB2312"/>
                <w:b w:val="0"/>
                <w:bCs/>
              </w:rPr>
            </w:pPr>
            <w:r>
              <w:rPr>
                <w:rFonts w:hint="eastAsia" w:ascii="仿宋" w:hAnsi="仿宋" w:eastAsia="仿宋"/>
                <w:b w:val="0"/>
                <w:bCs/>
                <w:szCs w:val="21"/>
              </w:rPr>
              <w:t>现代物流管理专业</w:t>
            </w:r>
          </w:p>
        </w:tc>
      </w:tr>
    </w:tbl>
    <w:p>
      <w:pPr>
        <w:pStyle w:val="2"/>
        <w:sectPr>
          <w:pgSz w:w="11906" w:h="16838"/>
          <w:pgMar w:top="1440" w:right="1803" w:bottom="1440" w:left="1803" w:header="851" w:footer="992" w:gutter="0"/>
          <w:cols w:space="0" w:num="1"/>
          <w:docGrid w:type="lines" w:linePitch="319" w:charSpace="0"/>
        </w:sectPr>
      </w:pPr>
    </w:p>
    <w:p>
      <w:pPr>
        <w:pStyle w:val="3"/>
        <w:spacing w:before="40" w:after="40" w:line="360" w:lineRule="auto"/>
        <w:ind w:firstLine="602" w:firstLineChars="200"/>
        <w:rPr>
          <w:rFonts w:hint="eastAsia" w:ascii="黑体" w:hAnsi="黑体" w:eastAsia="黑体" w:cs="黑体"/>
          <w:sz w:val="30"/>
          <w:szCs w:val="30"/>
        </w:rPr>
      </w:pPr>
      <w:bookmarkStart w:id="47" w:name="_Toc27067"/>
      <w:r>
        <w:rPr>
          <w:rFonts w:hint="eastAsia" w:ascii="黑体" w:hAnsi="黑体" w:eastAsia="黑体" w:cs="黑体"/>
          <w:sz w:val="30"/>
          <w:szCs w:val="30"/>
        </w:rPr>
        <w:t>八、实施保障</w:t>
      </w:r>
      <w:bookmarkEnd w:id="47"/>
    </w:p>
    <w:p>
      <w:pPr>
        <w:pStyle w:val="2"/>
        <w:ind w:firstLine="562" w:firstLineChars="200"/>
        <w:rPr>
          <w:rFonts w:hint="eastAsia" w:ascii="仿宋_GB2312" w:hAnsi="仿宋_GB2312" w:eastAsia="仿宋_GB2312" w:cs="仿宋_GB2312"/>
          <w:sz w:val="28"/>
          <w:szCs w:val="36"/>
        </w:rPr>
      </w:pPr>
      <w:bookmarkStart w:id="48" w:name="_Toc28671"/>
      <w:r>
        <w:rPr>
          <w:rFonts w:hint="eastAsia" w:ascii="仿宋_GB2312" w:hAnsi="仿宋_GB2312" w:eastAsia="仿宋_GB2312" w:cs="仿宋_GB2312"/>
          <w:sz w:val="28"/>
          <w:szCs w:val="36"/>
        </w:rPr>
        <w:t>（一）实训基地配备</w:t>
      </w:r>
      <w:bookmarkEnd w:id="48"/>
    </w:p>
    <w:p>
      <w:pPr>
        <w:adjustRightInd w:val="0"/>
        <w:snapToGrid w:val="0"/>
        <w:spacing w:line="360" w:lineRule="auto"/>
        <w:ind w:firstLine="560" w:firstLineChars="200"/>
        <w:rPr>
          <w:rFonts w:hint="eastAsia" w:ascii="仿宋_GB2312" w:eastAsia="仿宋_GB2312" w:hAnsiTheme="minorEastAsia"/>
          <w:sz w:val="28"/>
          <w:szCs w:val="28"/>
        </w:rPr>
      </w:pPr>
      <w:r>
        <w:rPr>
          <w:rFonts w:hint="eastAsia" w:ascii="仿宋_GB2312" w:eastAsia="仿宋_GB2312" w:hAnsiTheme="minorEastAsia"/>
          <w:sz w:val="28"/>
          <w:szCs w:val="28"/>
        </w:rPr>
        <w:t>以一个教学班50人为标准，校内基地和校外基地结合，规划完成实践教学项目需要配备的实训室、实训设备等。</w:t>
      </w:r>
    </w:p>
    <w:p>
      <w:pPr>
        <w:adjustRightInd w:val="0"/>
        <w:snapToGrid w:val="0"/>
        <w:spacing w:line="360" w:lineRule="auto"/>
        <w:ind w:firstLine="482" w:firstLineChars="200"/>
        <w:jc w:val="center"/>
        <w:rPr>
          <w:rFonts w:hint="eastAsia" w:ascii="仿宋_GB2312" w:eastAsia="仿宋_GB2312" w:hAnsiTheme="minorEastAsia"/>
          <w:b/>
          <w:bCs/>
          <w:sz w:val="24"/>
        </w:rPr>
      </w:pPr>
      <w:r>
        <w:rPr>
          <w:rFonts w:hint="eastAsia" w:ascii="仿宋_GB2312" w:eastAsia="仿宋_GB2312" w:hAnsiTheme="minorEastAsia"/>
          <w:b/>
          <w:bCs/>
          <w:sz w:val="24"/>
        </w:rPr>
        <w:t>实训条件配备一览表</w:t>
      </w:r>
    </w:p>
    <w:tbl>
      <w:tblPr>
        <w:tblStyle w:val="1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
        <w:gridCol w:w="649"/>
        <w:gridCol w:w="742"/>
        <w:gridCol w:w="706"/>
        <w:gridCol w:w="1799"/>
        <w:gridCol w:w="1920"/>
        <w:gridCol w:w="1596"/>
        <w:gridCol w:w="6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tblHeader/>
          <w:jc w:val="center"/>
        </w:trPr>
        <w:tc>
          <w:tcPr>
            <w:tcW w:w="291" w:type="pct"/>
            <w:vAlign w:val="center"/>
          </w:tcPr>
          <w:p>
            <w:pPr>
              <w:pStyle w:val="37"/>
              <w:rPr>
                <w:rFonts w:hint="eastAsia" w:ascii="仿宋_GB2312" w:hAnsi="仿宋_GB2312" w:eastAsia="仿宋_GB2312" w:cs="仿宋_GB2312"/>
                <w:b/>
                <w:bCs/>
              </w:rPr>
            </w:pPr>
            <w:bookmarkStart w:id="49" w:name="_Toc17472739"/>
            <w:r>
              <w:rPr>
                <w:rFonts w:hint="eastAsia" w:ascii="仿宋_GB2312" w:hAnsi="仿宋_GB2312" w:eastAsia="仿宋_GB2312" w:cs="仿宋_GB2312"/>
                <w:b/>
                <w:bCs/>
              </w:rPr>
              <w:t>序号</w:t>
            </w:r>
            <w:bookmarkEnd w:id="49"/>
          </w:p>
        </w:tc>
        <w:tc>
          <w:tcPr>
            <w:tcW w:w="816" w:type="pct"/>
            <w:gridSpan w:val="2"/>
            <w:vAlign w:val="center"/>
          </w:tcPr>
          <w:p>
            <w:pPr>
              <w:pStyle w:val="37"/>
              <w:rPr>
                <w:rFonts w:hint="eastAsia" w:ascii="仿宋_GB2312" w:hAnsi="仿宋_GB2312" w:eastAsia="仿宋_GB2312" w:cs="仿宋_GB2312"/>
                <w:b/>
                <w:bCs/>
              </w:rPr>
            </w:pPr>
            <w:bookmarkStart w:id="50" w:name="_Toc17472740"/>
            <w:r>
              <w:rPr>
                <w:rFonts w:hint="eastAsia" w:ascii="仿宋_GB2312" w:hAnsi="仿宋_GB2312" w:eastAsia="仿宋_GB2312" w:cs="仿宋_GB2312"/>
                <w:b/>
                <w:bCs/>
              </w:rPr>
              <w:t>实训室名称</w:t>
            </w:r>
            <w:bookmarkEnd w:id="50"/>
          </w:p>
        </w:tc>
        <w:tc>
          <w:tcPr>
            <w:tcW w:w="414" w:type="pct"/>
            <w:tcBorders>
              <w:bottom w:val="single" w:color="auto" w:sz="4" w:space="0"/>
            </w:tcBorders>
            <w:vAlign w:val="center"/>
          </w:tcPr>
          <w:p>
            <w:pPr>
              <w:pStyle w:val="37"/>
              <w:rPr>
                <w:rFonts w:hint="eastAsia" w:ascii="仿宋_GB2312" w:hAnsi="仿宋_GB2312" w:eastAsia="仿宋_GB2312" w:cs="仿宋_GB2312"/>
                <w:b/>
                <w:bCs/>
              </w:rPr>
            </w:pPr>
            <w:r>
              <w:rPr>
                <w:rFonts w:hint="eastAsia" w:ascii="仿宋_GB2312" w:hAnsi="仿宋_GB2312" w:eastAsia="仿宋_GB2312" w:cs="仿宋_GB2312"/>
                <w:b/>
                <w:bCs/>
              </w:rPr>
              <w:t>校内/校外</w:t>
            </w:r>
          </w:p>
        </w:tc>
        <w:tc>
          <w:tcPr>
            <w:tcW w:w="1055" w:type="pct"/>
            <w:tcBorders>
              <w:bottom w:val="single" w:color="auto" w:sz="4" w:space="0"/>
            </w:tcBorders>
            <w:vAlign w:val="center"/>
          </w:tcPr>
          <w:p>
            <w:pPr>
              <w:pStyle w:val="37"/>
              <w:rPr>
                <w:rFonts w:hint="eastAsia" w:ascii="仿宋_GB2312" w:hAnsi="仿宋_GB2312" w:eastAsia="仿宋_GB2312" w:cs="仿宋_GB2312"/>
                <w:b/>
                <w:bCs/>
              </w:rPr>
            </w:pPr>
            <w:r>
              <w:rPr>
                <w:rFonts w:hint="eastAsia" w:ascii="仿宋_GB2312" w:hAnsi="仿宋_GB2312" w:eastAsia="仿宋_GB2312" w:cs="仿宋_GB2312"/>
                <w:b/>
                <w:bCs/>
              </w:rPr>
              <w:t>主要设备名称</w:t>
            </w:r>
          </w:p>
        </w:tc>
        <w:tc>
          <w:tcPr>
            <w:tcW w:w="1126" w:type="pct"/>
            <w:vAlign w:val="center"/>
          </w:tcPr>
          <w:p>
            <w:pPr>
              <w:pStyle w:val="37"/>
              <w:rPr>
                <w:rFonts w:hint="eastAsia" w:ascii="仿宋_GB2312" w:hAnsi="仿宋_GB2312" w:eastAsia="仿宋_GB2312" w:cs="仿宋_GB2312"/>
                <w:b/>
                <w:bCs/>
              </w:rPr>
            </w:pPr>
            <w:r>
              <w:rPr>
                <w:rFonts w:hint="eastAsia" w:ascii="仿宋_GB2312" w:hAnsi="仿宋_GB2312" w:eastAsia="仿宋_GB2312" w:cs="仿宋_GB2312"/>
                <w:b/>
                <w:bCs/>
              </w:rPr>
              <w:t>配备数量</w:t>
            </w:r>
          </w:p>
        </w:tc>
        <w:tc>
          <w:tcPr>
            <w:tcW w:w="936" w:type="pct"/>
            <w:vAlign w:val="center"/>
          </w:tcPr>
          <w:p>
            <w:pPr>
              <w:pStyle w:val="37"/>
              <w:rPr>
                <w:rFonts w:hint="eastAsia" w:ascii="仿宋_GB2312" w:hAnsi="仿宋_GB2312" w:eastAsia="仿宋_GB2312" w:cs="仿宋_GB2312"/>
                <w:b/>
                <w:bCs/>
              </w:rPr>
            </w:pPr>
            <w:r>
              <w:rPr>
                <w:rFonts w:hint="eastAsia" w:ascii="仿宋_GB2312" w:hAnsi="仿宋_GB2312" w:eastAsia="仿宋_GB2312" w:cs="仿宋_GB2312"/>
                <w:b/>
                <w:bCs/>
              </w:rPr>
              <w:t>实训项目/内容</w:t>
            </w:r>
          </w:p>
        </w:tc>
        <w:tc>
          <w:tcPr>
            <w:tcW w:w="359" w:type="pct"/>
            <w:vAlign w:val="center"/>
          </w:tcPr>
          <w:p>
            <w:pPr>
              <w:pStyle w:val="37"/>
              <w:rPr>
                <w:rFonts w:hint="eastAsia" w:ascii="仿宋_GB2312" w:hAnsi="仿宋_GB2312" w:eastAsia="仿宋_GB2312" w:cs="仿宋_GB2312"/>
                <w:b/>
                <w:bCs/>
              </w:rPr>
            </w:pPr>
            <w:r>
              <w:rPr>
                <w:rFonts w:hint="eastAsia" w:ascii="仿宋_GB2312" w:hAnsi="仿宋_GB2312" w:eastAsia="仿宋_GB2312" w:cs="仿宋_GB2312"/>
                <w:b/>
                <w:bCs/>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291" w:type="pct"/>
            <w:vMerge w:val="restart"/>
            <w:vAlign w:val="center"/>
          </w:tcPr>
          <w:p>
            <w:pPr>
              <w:pStyle w:val="37"/>
              <w:rPr>
                <w:rFonts w:hint="eastAsia" w:ascii="仿宋_GB2312" w:hAnsi="仿宋_GB2312" w:eastAsia="仿宋_GB2312" w:cs="仿宋_GB2312"/>
              </w:rPr>
            </w:pPr>
            <w:bookmarkStart w:id="51" w:name="_Toc17472746"/>
            <w:r>
              <w:rPr>
                <w:rFonts w:hint="eastAsia" w:ascii="仿宋_GB2312" w:hAnsi="仿宋_GB2312" w:eastAsia="仿宋_GB2312" w:cs="仿宋_GB2312"/>
              </w:rPr>
              <w:t>1</w:t>
            </w:r>
            <w:bookmarkEnd w:id="51"/>
          </w:p>
          <w:p>
            <w:pPr>
              <w:pStyle w:val="37"/>
              <w:rPr>
                <w:rFonts w:hint="eastAsia" w:ascii="仿宋_GB2312" w:hAnsi="仿宋_GB2312" w:eastAsia="仿宋_GB2312" w:cs="仿宋_GB2312"/>
              </w:rPr>
            </w:pPr>
          </w:p>
        </w:tc>
        <w:tc>
          <w:tcPr>
            <w:tcW w:w="381" w:type="pct"/>
            <w:vMerge w:val="restart"/>
            <w:vAlign w:val="center"/>
          </w:tcPr>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r>
              <w:rPr>
                <w:rFonts w:hint="eastAsia" w:ascii="仿宋_GB2312" w:hAnsi="仿宋_GB2312" w:eastAsia="仿宋_GB2312" w:cs="仿宋_GB2312"/>
              </w:rPr>
              <w:t>汽车工业智能物流实训中心</w:t>
            </w: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p>
            <w:pPr>
              <w:pStyle w:val="37"/>
              <w:rPr>
                <w:rFonts w:hint="eastAsia" w:ascii="仿宋_GB2312" w:hAnsi="仿宋_GB2312" w:eastAsia="仿宋_GB2312" w:cs="仿宋_GB2312"/>
              </w:rPr>
            </w:pPr>
          </w:p>
        </w:tc>
        <w:tc>
          <w:tcPr>
            <w:tcW w:w="434"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汽车零部件集配作业实训分中心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双巷道多层穿梭车存储货架、出入货辊筒输送链、多层穿梭车、双平台提升机、双层双链辊道机、顶升移载机、货到人拣选底层控制系统</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双巷道多层穿梭车存储货架1套、出入货辊筒输送链16套、多层穿梭车8套、双平台提升机2套、双层双链辊道机1套、顶升移载机20套、货到人拣选底层控制系统1套</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1.零部件的接收及异常处理2.零部件存储的组织与操作3.备货的组织与操作4.零部件上线配送5.集配作业综合实训</w:t>
            </w:r>
          </w:p>
        </w:tc>
        <w:tc>
          <w:tcPr>
            <w:tcW w:w="359" w:type="pct"/>
            <w:vAlign w:val="center"/>
          </w:tcPr>
          <w:p>
            <w:pPr>
              <w:pStyle w:val="37"/>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8" w:hRule="atLeast"/>
          <w:jc w:val="center"/>
        </w:trPr>
        <w:tc>
          <w:tcPr>
            <w:tcW w:w="291" w:type="pct"/>
            <w:vMerge w:val="continue"/>
            <w:vAlign w:val="center"/>
          </w:tcPr>
          <w:p>
            <w:pPr>
              <w:pStyle w:val="37"/>
              <w:rPr>
                <w:rFonts w:hint="eastAsia" w:ascii="仿宋_GB2312" w:hAnsi="仿宋_GB2312" w:eastAsia="仿宋_GB2312" w:cs="仿宋_GB2312"/>
              </w:rPr>
            </w:pPr>
          </w:p>
        </w:tc>
        <w:tc>
          <w:tcPr>
            <w:tcW w:w="381" w:type="pct"/>
            <w:vMerge w:val="continue"/>
            <w:vAlign w:val="center"/>
          </w:tcPr>
          <w:p>
            <w:pPr>
              <w:pStyle w:val="37"/>
              <w:rPr>
                <w:rFonts w:hint="eastAsia" w:ascii="仿宋_GB2312" w:hAnsi="仿宋_GB2312" w:eastAsia="仿宋_GB2312" w:cs="仿宋_GB2312"/>
              </w:rPr>
            </w:pPr>
          </w:p>
        </w:tc>
        <w:tc>
          <w:tcPr>
            <w:tcW w:w="434"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跨境电商实训分中心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跨境达人实训教学系统、货代达人实训教学系统、报关达人实训教学系统、物流大数据平台、快递综合业务模拟实操系统、条码识读设备及软件</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跨境达人实训教学系统1套、货代达人实训教学系统1套、报关达人实训教学系统1套、物流大数据平台1套、快递综合业务模拟实操系统1套、条码识读设备及软件2套</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1.跨境店铺注册操作及推广2.跨境物流与海外仓操作3.海外市场调研操作4.跨境电商业务操作5.售后服务及客户维护</w:t>
            </w:r>
          </w:p>
        </w:tc>
        <w:tc>
          <w:tcPr>
            <w:tcW w:w="359" w:type="pct"/>
            <w:vAlign w:val="center"/>
          </w:tcPr>
          <w:p>
            <w:pPr>
              <w:pStyle w:val="37"/>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291" w:type="pct"/>
            <w:vMerge w:val="continue"/>
            <w:vAlign w:val="center"/>
          </w:tcPr>
          <w:p>
            <w:pPr>
              <w:pStyle w:val="37"/>
              <w:rPr>
                <w:rFonts w:hint="eastAsia" w:ascii="仿宋_GB2312" w:hAnsi="仿宋_GB2312" w:eastAsia="仿宋_GB2312" w:cs="仿宋_GB2312"/>
              </w:rPr>
            </w:pPr>
          </w:p>
        </w:tc>
        <w:tc>
          <w:tcPr>
            <w:tcW w:w="381" w:type="pct"/>
            <w:vMerge w:val="continue"/>
            <w:vAlign w:val="center"/>
          </w:tcPr>
          <w:p>
            <w:pPr>
              <w:pStyle w:val="37"/>
              <w:rPr>
                <w:rFonts w:hint="eastAsia" w:ascii="仿宋_GB2312" w:hAnsi="仿宋_GB2312" w:eastAsia="仿宋_GB2312" w:cs="仿宋_GB2312"/>
              </w:rPr>
            </w:pPr>
          </w:p>
        </w:tc>
        <w:tc>
          <w:tcPr>
            <w:tcW w:w="434"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AR/VR实训分中心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VR眼镜+高配主机、VR仓储配送中心、虚拟港口认知及设备操作系统、空港物流VR虚拟体验学习系统、AR多媒体教学平台、配套课程资源体系</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VR眼镜+高配主机4套、VR仓储配送中心1套、虚拟港口认知及设备操作系统1套、空港物流VR虚拟体验学习系统1套、AR多媒体教学平台1套、配套课程资源体系1套</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1.仓储配送中心VR体验学习2.虚拟港口认知及设备操作3.空港物流VR虚拟体验学习4.仓储设备AR认知学习</w:t>
            </w:r>
          </w:p>
        </w:tc>
        <w:tc>
          <w:tcPr>
            <w:tcW w:w="359" w:type="pct"/>
            <w:vAlign w:val="center"/>
          </w:tcPr>
          <w:p>
            <w:pPr>
              <w:pStyle w:val="37"/>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 w:hRule="atLeast"/>
          <w:jc w:val="center"/>
        </w:trPr>
        <w:tc>
          <w:tcPr>
            <w:tcW w:w="291" w:type="pct"/>
            <w:vMerge w:val="continue"/>
            <w:vAlign w:val="center"/>
          </w:tcPr>
          <w:p>
            <w:pPr>
              <w:pStyle w:val="37"/>
              <w:rPr>
                <w:rFonts w:hint="eastAsia" w:ascii="仿宋_GB2312" w:hAnsi="仿宋_GB2312" w:eastAsia="仿宋_GB2312" w:cs="仿宋_GB2312"/>
              </w:rPr>
            </w:pPr>
          </w:p>
        </w:tc>
        <w:tc>
          <w:tcPr>
            <w:tcW w:w="381" w:type="pct"/>
            <w:vMerge w:val="continue"/>
            <w:vAlign w:val="center"/>
          </w:tcPr>
          <w:p>
            <w:pPr>
              <w:pStyle w:val="37"/>
              <w:rPr>
                <w:rFonts w:hint="eastAsia" w:ascii="仿宋_GB2312" w:hAnsi="仿宋_GB2312" w:eastAsia="仿宋_GB2312" w:cs="仿宋_GB2312"/>
              </w:rPr>
            </w:pPr>
          </w:p>
        </w:tc>
        <w:tc>
          <w:tcPr>
            <w:tcW w:w="434"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储配实训分中心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自动化仓库货架、巷道式堆垛机、WCS仓储控制系统、自动化仓库任务电子看板、站驾式堆高车、播种式电子标签、摘取式电子标签、无人驾驶飞机、AGV货到人拣选送系统、电商播种墙、智能穿戴仓储辅助系统、智能AGV小车、仓储管理运营软件、物联网供应链管理软件</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自动化仓库货架1套、巷道式堆垛机1套、WCS仓储控制系统1套、自动化仓库任务电子看板2套、站驾式堆高车2套、播种式电子标签2套、摘取式电子标签2套、无人驾驶飞机1套、AGV货到人拣选送系统1套、电商播种墙2套、智能穿戴仓储辅助系统1套、智能AGV小车2套、仓储管理软件1套</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1.入库处理</w:t>
            </w:r>
          </w:p>
          <w:p>
            <w:pPr>
              <w:pStyle w:val="37"/>
              <w:rPr>
                <w:rFonts w:hint="eastAsia" w:ascii="仿宋_GB2312" w:hAnsi="仿宋_GB2312" w:eastAsia="仿宋_GB2312" w:cs="仿宋_GB2312"/>
              </w:rPr>
            </w:pPr>
            <w:r>
              <w:rPr>
                <w:rFonts w:hint="eastAsia" w:ascii="仿宋_GB2312" w:hAnsi="仿宋_GB2312" w:eastAsia="仿宋_GB2312" w:cs="仿宋_GB2312"/>
              </w:rPr>
              <w:t>2.在库处理</w:t>
            </w:r>
          </w:p>
          <w:p>
            <w:pPr>
              <w:pStyle w:val="37"/>
              <w:rPr>
                <w:rFonts w:hint="eastAsia" w:ascii="仿宋_GB2312" w:hAnsi="仿宋_GB2312" w:eastAsia="仿宋_GB2312" w:cs="仿宋_GB2312"/>
              </w:rPr>
            </w:pPr>
            <w:r>
              <w:rPr>
                <w:rFonts w:hint="eastAsia" w:ascii="仿宋_GB2312" w:hAnsi="仿宋_GB2312" w:eastAsia="仿宋_GB2312" w:cs="仿宋_GB2312"/>
              </w:rPr>
              <w:t>3.出库处理</w:t>
            </w:r>
          </w:p>
          <w:p>
            <w:pPr>
              <w:pStyle w:val="37"/>
              <w:rPr>
                <w:rFonts w:hint="eastAsia" w:ascii="仿宋_GB2312" w:hAnsi="仿宋_GB2312" w:eastAsia="仿宋_GB2312" w:cs="仿宋_GB2312"/>
              </w:rPr>
            </w:pPr>
            <w:r>
              <w:rPr>
                <w:rFonts w:hint="eastAsia" w:ascii="仿宋_GB2312" w:hAnsi="仿宋_GB2312" w:eastAsia="仿宋_GB2312" w:cs="仿宋_GB2312"/>
              </w:rPr>
              <w:t>4.退货处理</w:t>
            </w:r>
          </w:p>
        </w:tc>
        <w:tc>
          <w:tcPr>
            <w:tcW w:w="359" w:type="pct"/>
            <w:vAlign w:val="center"/>
          </w:tcPr>
          <w:p>
            <w:pPr>
              <w:pStyle w:val="37"/>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291"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2</w:t>
            </w:r>
          </w:p>
        </w:tc>
        <w:tc>
          <w:tcPr>
            <w:tcW w:w="816" w:type="pct"/>
            <w:gridSpan w:val="2"/>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叉车实训中心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内燃叉车、托盘</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内燃叉车4台、托盘16个</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1.叉车驾驶安全规范2.车辆的维护与保养方法3.叉车的操作技术</w:t>
            </w:r>
          </w:p>
        </w:tc>
        <w:tc>
          <w:tcPr>
            <w:tcW w:w="359" w:type="pct"/>
            <w:vAlign w:val="center"/>
          </w:tcPr>
          <w:p>
            <w:pPr>
              <w:pStyle w:val="37"/>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291"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3</w:t>
            </w:r>
          </w:p>
        </w:tc>
        <w:tc>
          <w:tcPr>
            <w:tcW w:w="816" w:type="pct"/>
            <w:gridSpan w:val="2"/>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物流运输实训中心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 xml:space="preserve">计算机、服务器、工业手持终端、条码扫描终端、车辆节点跟踪RFID一体机、物流综合业务系统、3D运输管理系统、运输模拟跟踪软件、装载及线路优化系统、GIS优化实验系统、城市电子矢量点图、地理信息系统 </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计算机7台、服务器1台、工业手持终端4台、条码扫描终端8套、车辆节点跟踪RFID一体机4台、物流综合业务系统1套、3D运输管理系统1套、运输模拟跟踪软件1套、装载及线路优化系统1套、GIS优化实验系统1套、城市电子矢量点图1套、地理信息系统1套</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1.运输与配送计划方案的编制2.运输包装方案制定3.运输、配送单据填制4.车辆配载5.运输服务方案制定</w:t>
            </w:r>
          </w:p>
        </w:tc>
        <w:tc>
          <w:tcPr>
            <w:tcW w:w="359" w:type="pct"/>
            <w:vAlign w:val="center"/>
          </w:tcPr>
          <w:p>
            <w:pPr>
              <w:pStyle w:val="37"/>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291"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4</w:t>
            </w:r>
          </w:p>
        </w:tc>
        <w:tc>
          <w:tcPr>
            <w:tcW w:w="816" w:type="pct"/>
            <w:gridSpan w:val="2"/>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工业包装设计实训分中心</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包装样件教学知识集成、包装设计案例库、切割机、设计工作站现场看板、模拟运输震动实验平台、跌落试验机1套、纸箱抗压试验机、典型包装样件、包装样件教学目视看板、包装检测管理目视看板、全自动打包机、仓库料箱及料架</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包装样件教学知识集成26套、包装设计案列库10套、切割机4套、模拟运输震动实验平台1套、纸箱抗压试验机1套、典型包装样件1套、包装样件教学目视看板1套、包装检测管理目视看板1套、全自动打包机2套、仓库料箱及料架1套</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1.典型包装认知实训2.包装材料认知实训3.包装设计认知实训4.包装制造体验5.包装测试体验实训</w:t>
            </w:r>
          </w:p>
        </w:tc>
        <w:tc>
          <w:tcPr>
            <w:tcW w:w="359"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已升级融入汽车工业智能物流实训中心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291"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5</w:t>
            </w:r>
          </w:p>
        </w:tc>
        <w:tc>
          <w:tcPr>
            <w:tcW w:w="816" w:type="pct"/>
            <w:gridSpan w:val="2"/>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汽车工业链虚拟仿真实训基地</w:t>
            </w:r>
          </w:p>
        </w:tc>
        <w:tc>
          <w:tcPr>
            <w:tcW w:w="414"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校内</w:t>
            </w:r>
          </w:p>
        </w:tc>
        <w:tc>
          <w:tcPr>
            <w:tcW w:w="1055" w:type="pct"/>
            <w:shd w:val="clear" w:color="auto" w:fill="FFFFFF"/>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供应链管理虚拟仿真软件、计算机、智慧黑板、功放（含音响）等</w:t>
            </w:r>
          </w:p>
        </w:tc>
        <w:tc>
          <w:tcPr>
            <w:tcW w:w="112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 xml:space="preserve">软件含“供应链管理实训平台”、“供应链实战平台”及“供应链金融实战平台”等模块教学管理软件 </w:t>
            </w: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供应链环境下的综合管理实训</w:t>
            </w:r>
          </w:p>
        </w:tc>
        <w:tc>
          <w:tcPr>
            <w:tcW w:w="359"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建设中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7" w:hRule="atLeast"/>
          <w:jc w:val="center"/>
        </w:trPr>
        <w:tc>
          <w:tcPr>
            <w:tcW w:w="291"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6</w:t>
            </w:r>
          </w:p>
        </w:tc>
        <w:tc>
          <w:tcPr>
            <w:tcW w:w="816" w:type="pct"/>
            <w:gridSpan w:val="2"/>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丰豪物流（北京）有限公司、顺丰速运（集团）有限公司、柳州五菱柳机动力有限公司柳州市桂中海迅运输有限公司、上海盒马网络科技有限公司、辽宁安吉联合物流有限公司等</w:t>
            </w:r>
          </w:p>
        </w:tc>
        <w:tc>
          <w:tcPr>
            <w:tcW w:w="414"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校外</w:t>
            </w:r>
          </w:p>
        </w:tc>
        <w:tc>
          <w:tcPr>
            <w:tcW w:w="1055" w:type="pct"/>
            <w:vAlign w:val="center"/>
          </w:tcPr>
          <w:p>
            <w:pPr>
              <w:pStyle w:val="37"/>
              <w:rPr>
                <w:rFonts w:hint="eastAsia" w:ascii="仿宋_GB2312" w:hAnsi="仿宋_GB2312" w:eastAsia="仿宋_GB2312" w:cs="仿宋_GB2312"/>
              </w:rPr>
            </w:pPr>
          </w:p>
        </w:tc>
        <w:tc>
          <w:tcPr>
            <w:tcW w:w="1126" w:type="pct"/>
            <w:vAlign w:val="center"/>
          </w:tcPr>
          <w:p>
            <w:pPr>
              <w:pStyle w:val="37"/>
              <w:rPr>
                <w:rFonts w:hint="eastAsia" w:ascii="仿宋_GB2312" w:hAnsi="仿宋_GB2312" w:eastAsia="仿宋_GB2312" w:cs="仿宋_GB2312"/>
              </w:rPr>
            </w:pPr>
          </w:p>
        </w:tc>
        <w:tc>
          <w:tcPr>
            <w:tcW w:w="936" w:type="pct"/>
            <w:vAlign w:val="center"/>
          </w:tcPr>
          <w:p>
            <w:pPr>
              <w:pStyle w:val="37"/>
              <w:rPr>
                <w:rFonts w:hint="eastAsia" w:ascii="仿宋_GB2312" w:hAnsi="仿宋_GB2312" w:eastAsia="仿宋_GB2312" w:cs="仿宋_GB2312"/>
              </w:rPr>
            </w:pPr>
            <w:r>
              <w:rPr>
                <w:rFonts w:hint="eastAsia" w:ascii="仿宋_GB2312" w:hAnsi="仿宋_GB2312" w:eastAsia="仿宋_GB2312" w:cs="仿宋_GB2312"/>
              </w:rPr>
              <w:t>实习</w:t>
            </w:r>
          </w:p>
        </w:tc>
        <w:tc>
          <w:tcPr>
            <w:tcW w:w="359" w:type="pct"/>
            <w:vAlign w:val="center"/>
          </w:tcPr>
          <w:p>
            <w:pPr>
              <w:pStyle w:val="37"/>
              <w:rPr>
                <w:rFonts w:hint="eastAsia" w:ascii="仿宋_GB2312" w:hAnsi="仿宋_GB2312" w:eastAsia="仿宋_GB2312" w:cs="仿宋_GB2312"/>
              </w:rPr>
            </w:pPr>
          </w:p>
        </w:tc>
      </w:tr>
    </w:tbl>
    <w:p/>
    <w:p>
      <w:pPr>
        <w:pStyle w:val="2"/>
        <w:ind w:firstLine="562" w:firstLineChars="200"/>
        <w:rPr>
          <w:rFonts w:hint="eastAsia" w:ascii="仿宋_GB2312" w:hAnsi="仿宋_GB2312" w:eastAsia="仿宋_GB2312" w:cs="仿宋_GB2312"/>
          <w:sz w:val="28"/>
          <w:szCs w:val="36"/>
        </w:rPr>
      </w:pPr>
      <w:bookmarkStart w:id="52" w:name="_Toc3807"/>
      <w:r>
        <w:rPr>
          <w:rFonts w:hint="eastAsia" w:ascii="仿宋_GB2312" w:hAnsi="仿宋_GB2312" w:eastAsia="仿宋_GB2312" w:cs="仿宋_GB2312"/>
          <w:sz w:val="28"/>
          <w:szCs w:val="36"/>
        </w:rPr>
        <w:t>（二）结构化教学团队</w:t>
      </w:r>
      <w:bookmarkEnd w:id="52"/>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良好的师资队伍是培养高质量学生的重要保证。目前，本教学团队共有专任教师30人。其中，专业高级职称专任教师13人，占比43.33%，具有研究生学位专任教师22人，占比73.33%，具有博士研究生学位专任教师5人，占比16.67%。本专业专任教师中“双师型”教师25人，占比83.33%。团队还拥有来自上汽通用五菱、五菱工业、捷富凯国际物流等众多区域龙头企业的兼职教师24人。</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团队专业带头人李晓雯教授，是高级物流师，一级物流服务师，英国现代学徒制认证内审员、评估师，被全国物流职业教育教学指导委员会评为“物流职业教育教学名师”，担任全国职业院校技能大赛（高职组）智慧物流赛项和智慧物流（教师分赛）赛项的专家组组长，专业能力突出。</w:t>
      </w:r>
    </w:p>
    <w:p/>
    <w:p>
      <w:pPr>
        <w:pStyle w:val="2"/>
        <w:ind w:firstLine="562" w:firstLineChars="200"/>
        <w:rPr>
          <w:rFonts w:hint="eastAsia" w:ascii="仿宋_GB2312" w:hAnsi="仿宋_GB2312" w:eastAsia="仿宋_GB2312" w:cs="仿宋_GB2312"/>
          <w:sz w:val="28"/>
          <w:szCs w:val="36"/>
        </w:rPr>
      </w:pPr>
      <w:bookmarkStart w:id="53" w:name="_Toc27116"/>
      <w:r>
        <w:rPr>
          <w:rFonts w:hint="eastAsia" w:ascii="仿宋_GB2312" w:hAnsi="仿宋_GB2312" w:eastAsia="仿宋_GB2312" w:cs="仿宋_GB2312"/>
          <w:sz w:val="28"/>
          <w:szCs w:val="36"/>
        </w:rPr>
        <w:t>（三）教学资源</w:t>
      </w:r>
      <w:bookmarkEnd w:id="53"/>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 xml:space="preserve">现代物流管理专业教学资源为专业课程体系的实施提供支撑和保障，主要包自治区级职业教育专业教学资源库---物流管理（汽车工业物流）专业教学资源库、图书及数字化资源等。包括： </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1.教材选用基本要求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按照国家规定选用优质教材，禁止不合格的教材进入课堂。建立由专业教师、行业专家和教研人员等参与的教材选用机构，完善教材选用制度，经过规范程序择优选用教材。</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2.图书文献配备基本要求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在图书资源方面，图书文献配备能够满足人才培养、专业建设、教学科研等工作需要，方便师生查询、借阅。图书馆既有图书资料文献如纸本图书、期刊，也有电子图书，拥有清华同方、维普考试资源系统等数据库，形成了涵盖机械、计算机、化工、电子与信息、工业设计、产品装潢、室内设计、环境艺术、经济、基础学科、人文社会科学等学科门类相结合的多学科、多层次的馆藏资源。现代物流管理专业可根据需求，通过图书馆纸质与电子资源获得多方面的信息资源。</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3.数字教学资源配置基本要求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现代物流管理专业建设与配备和本专业有关的音视频素材、教学课件、微课、在线课程、数字化教学案例库、虚拟仿真软件、数字教材等专业教学资源库，种类丰富、形式多样、使用便捷、动态更新，满足教学、科研、专业建设、人才培养等需求。</w:t>
      </w:r>
    </w:p>
    <w:p>
      <w:pPr>
        <w:pStyle w:val="2"/>
        <w:ind w:firstLine="562" w:firstLineChars="200"/>
        <w:rPr>
          <w:rFonts w:hint="eastAsia" w:ascii="仿宋_GB2312" w:hAnsi="仿宋_GB2312" w:eastAsia="仿宋_GB2312" w:cs="仿宋_GB2312"/>
          <w:sz w:val="28"/>
          <w:szCs w:val="36"/>
        </w:rPr>
      </w:pPr>
      <w:bookmarkStart w:id="54" w:name="_Toc2987"/>
      <w:r>
        <w:rPr>
          <w:rFonts w:hint="eastAsia" w:ascii="仿宋_GB2312" w:hAnsi="仿宋_GB2312" w:eastAsia="仿宋_GB2312" w:cs="仿宋_GB2312"/>
          <w:sz w:val="28"/>
          <w:szCs w:val="36"/>
        </w:rPr>
        <w:t>（四）教学方法</w:t>
      </w:r>
      <w:bookmarkEnd w:id="54"/>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现代物流管理专业在教学过程中采用多种教学方法，结合学生和教学内容的实际情况，探索以学生自主学习为中心，选择适当的教学方法，普及项目教学、案例教学、情境教学、模块化教学等教学方式、广泛运用启发式、探究式、讨论式、参与式等教学方法，大力推进翻转课堂、混合式教学、理实一体化教学等新型教学模式，推进信息技术与教学有机融合，从学生实际出发，因材施教，着力培养学生学习兴趣，从而提高学生学习的主动性和积极性。</w:t>
      </w:r>
    </w:p>
    <w:p>
      <w:pPr>
        <w:pStyle w:val="2"/>
        <w:ind w:firstLine="562" w:firstLineChars="200"/>
        <w:rPr>
          <w:rFonts w:hint="eastAsia" w:ascii="仿宋_GB2312" w:hAnsi="仿宋_GB2312" w:eastAsia="仿宋_GB2312" w:cs="仿宋_GB2312"/>
          <w:sz w:val="28"/>
          <w:szCs w:val="36"/>
        </w:rPr>
      </w:pPr>
      <w:bookmarkStart w:id="55" w:name="_Toc16360"/>
      <w:r>
        <w:rPr>
          <w:rFonts w:hint="eastAsia" w:ascii="仿宋_GB2312" w:hAnsi="仿宋_GB2312" w:eastAsia="仿宋_GB2312" w:cs="仿宋_GB2312"/>
          <w:sz w:val="28"/>
          <w:szCs w:val="36"/>
        </w:rPr>
        <w:t>（五）学习评价</w:t>
      </w:r>
      <w:bookmarkEnd w:id="55"/>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学生的学习评价主要是通过课程考核来实现，从知识、能力、素质等方面进行评价；采用笔试、口试、项目、实践活动等多种方式对学生进行评价，应采取过程性评价（侧重于教学过程）和终结性评价（侧重于教学结果）相结合的方式进行。</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过程性评价即在教学组织过程中，以学生在学习过程中表现的职业素养和完成平时作业的情况作为平时过程性考核成绩。职业素养主要考核学生的学习态度、团队协作等方面。平时作业的过程性考核主要考核学生完成各项目的质量及在各项活动中所起的作用；终结性评价即在课程学习结束时以考试或完成综合方案。</w:t>
      </w:r>
    </w:p>
    <w:p>
      <w:pPr>
        <w:pStyle w:val="2"/>
        <w:ind w:firstLine="562" w:firstLineChars="200"/>
        <w:rPr>
          <w:rFonts w:hint="eastAsia" w:ascii="仿宋_GB2312" w:hAnsi="仿宋_GB2312" w:eastAsia="仿宋_GB2312" w:cs="仿宋_GB2312"/>
          <w:sz w:val="28"/>
          <w:szCs w:val="36"/>
        </w:rPr>
      </w:pPr>
      <w:bookmarkStart w:id="56" w:name="_Toc47"/>
      <w:r>
        <w:rPr>
          <w:rFonts w:hint="eastAsia" w:ascii="仿宋_GB2312" w:hAnsi="仿宋_GB2312" w:eastAsia="仿宋_GB2312" w:cs="仿宋_GB2312"/>
          <w:sz w:val="28"/>
          <w:szCs w:val="36"/>
        </w:rPr>
        <w:t>（六）质量保障</w:t>
      </w:r>
      <w:bookmarkEnd w:id="56"/>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3.专业教研组织建立线上线下相结合的集中备课制度，定期召开教学研讨会议，利用评价分析结果有效改进专业教学，持续提高人才培养质量。</w:t>
      </w:r>
    </w:p>
    <w:p>
      <w:pPr>
        <w:spacing w:line="596" w:lineRule="exact"/>
        <w:ind w:firstLine="560" w:firstLineChars="200"/>
        <w:rPr>
          <w:rFonts w:hint="eastAsia" w:ascii="仿宋" w:hAnsi="仿宋" w:eastAsia="仿宋" w:cs="仿宋"/>
          <w:sz w:val="28"/>
          <w:szCs w:val="28"/>
        </w:rPr>
      </w:pPr>
      <w:r>
        <w:rPr>
          <w:rFonts w:hint="eastAsia" w:ascii="仿宋" w:hAnsi="仿宋" w:eastAsia="仿宋" w:cs="仿宋"/>
          <w:sz w:val="28"/>
          <w:szCs w:val="28"/>
        </w:rPr>
        <w:t>4.建立毕业生跟踪反馈机制及社会评价机制，并对生源情况、职业道德、技术技能水平、就业质量等进行分析，定期评价人才培养质量和培养目标达成情况。</w:t>
      </w:r>
    </w:p>
    <w:p>
      <w:pPr>
        <w:pStyle w:val="3"/>
        <w:spacing w:before="40" w:after="40" w:line="360" w:lineRule="auto"/>
        <w:ind w:firstLine="602" w:firstLineChars="200"/>
        <w:rPr>
          <w:rFonts w:hint="eastAsia" w:ascii="黑体" w:hAnsi="黑体" w:eastAsia="黑体" w:cs="黑体"/>
          <w:sz w:val="30"/>
          <w:szCs w:val="30"/>
        </w:rPr>
      </w:pPr>
      <w:bookmarkStart w:id="57" w:name="_Toc27668"/>
      <w:r>
        <w:rPr>
          <w:rFonts w:hint="eastAsia" w:ascii="黑体" w:hAnsi="黑体" w:eastAsia="黑体" w:cs="黑体"/>
          <w:sz w:val="30"/>
          <w:szCs w:val="30"/>
        </w:rPr>
        <w:t>九、毕业要求及学位授予</w:t>
      </w:r>
      <w:bookmarkEnd w:id="57"/>
    </w:p>
    <w:p>
      <w:pPr>
        <w:pStyle w:val="2"/>
        <w:ind w:firstLine="562" w:firstLineChars="200"/>
        <w:rPr>
          <w:rFonts w:hint="eastAsia" w:ascii="仿宋_GB2312" w:hAnsi="仿宋_GB2312" w:eastAsia="仿宋_GB2312" w:cs="仿宋_GB2312"/>
          <w:sz w:val="28"/>
          <w:szCs w:val="36"/>
        </w:rPr>
      </w:pPr>
      <w:bookmarkStart w:id="58" w:name="_Toc5931"/>
      <w:r>
        <w:rPr>
          <w:rFonts w:hint="eastAsia" w:ascii="仿宋_GB2312" w:hAnsi="仿宋_GB2312" w:eastAsia="仿宋_GB2312" w:cs="仿宋_GB2312"/>
          <w:sz w:val="28"/>
          <w:szCs w:val="36"/>
        </w:rPr>
        <w:t>（一）毕业要求</w:t>
      </w:r>
      <w:bookmarkEnd w:id="58"/>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 xml:space="preserve">学生在规定的学习年限内修满人才培养方案规定的各教学模块的学分，总学分达到 </w:t>
      </w:r>
      <w:r>
        <w:rPr>
          <w:rFonts w:hint="eastAsia" w:ascii="仿宋" w:hAnsi="仿宋" w:eastAsia="仿宋" w:cs="仿宋"/>
          <w:sz w:val="28"/>
          <w:szCs w:val="28"/>
        </w:rPr>
        <w:t>170</w:t>
      </w:r>
      <w:r>
        <w:rPr>
          <w:rFonts w:ascii="仿宋" w:hAnsi="仿宋" w:eastAsia="仿宋" w:cs="仿宋"/>
          <w:sz w:val="28"/>
          <w:szCs w:val="28"/>
        </w:rPr>
        <w:t xml:space="preserve">学分，其中各类必修学分达到 </w:t>
      </w:r>
      <w:r>
        <w:rPr>
          <w:rFonts w:hint="eastAsia" w:ascii="仿宋" w:hAnsi="仿宋" w:eastAsia="仿宋" w:cs="仿宋"/>
          <w:sz w:val="28"/>
          <w:szCs w:val="28"/>
        </w:rPr>
        <w:t>140</w:t>
      </w:r>
      <w:r>
        <w:rPr>
          <w:rFonts w:ascii="仿宋" w:hAnsi="仿宋" w:eastAsia="仿宋" w:cs="仿宋"/>
          <w:sz w:val="28"/>
          <w:szCs w:val="28"/>
        </w:rPr>
        <w:t xml:space="preserve"> 学分，选修学分达到 </w:t>
      </w:r>
      <w:r>
        <w:rPr>
          <w:rFonts w:hint="eastAsia" w:ascii="仿宋" w:hAnsi="仿宋" w:eastAsia="仿宋" w:cs="仿宋"/>
          <w:sz w:val="28"/>
          <w:szCs w:val="28"/>
        </w:rPr>
        <w:t>30</w:t>
      </w:r>
      <w:r>
        <w:rPr>
          <w:rFonts w:ascii="仿宋" w:hAnsi="仿宋" w:eastAsia="仿宋" w:cs="仿宋"/>
          <w:sz w:val="28"/>
          <w:szCs w:val="28"/>
        </w:rPr>
        <w:t>学分以上，第二课堂活动分</w:t>
      </w:r>
      <w:r>
        <w:rPr>
          <w:rFonts w:hint="eastAsia" w:ascii="仿宋" w:hAnsi="仿宋" w:eastAsia="仿宋" w:cs="仿宋"/>
          <w:sz w:val="28"/>
          <w:szCs w:val="28"/>
        </w:rPr>
        <w:t>180分，准予</w:t>
      </w:r>
      <w:r>
        <w:rPr>
          <w:rFonts w:ascii="仿宋" w:hAnsi="仿宋" w:eastAsia="仿宋" w:cs="仿宋"/>
          <w:sz w:val="28"/>
          <w:szCs w:val="28"/>
        </w:rPr>
        <w:t>毕业。</w:t>
      </w:r>
    </w:p>
    <w:p>
      <w:pPr>
        <w:pStyle w:val="2"/>
        <w:ind w:firstLine="562" w:firstLineChars="200"/>
        <w:rPr>
          <w:rFonts w:hint="eastAsia" w:ascii="仿宋_GB2312" w:hAnsi="仿宋_GB2312" w:eastAsia="仿宋_GB2312" w:cs="仿宋_GB2312"/>
          <w:sz w:val="28"/>
          <w:szCs w:val="36"/>
        </w:rPr>
      </w:pPr>
      <w:bookmarkStart w:id="59" w:name="_Toc10945"/>
      <w:r>
        <w:rPr>
          <w:rFonts w:hint="eastAsia" w:ascii="仿宋_GB2312" w:hAnsi="仿宋_GB2312" w:eastAsia="仿宋_GB2312" w:cs="仿宋_GB2312"/>
          <w:sz w:val="28"/>
          <w:szCs w:val="36"/>
        </w:rPr>
        <w:t>（二）学位授予</w:t>
      </w:r>
      <w:bookmarkEnd w:id="59"/>
    </w:p>
    <w:p>
      <w:pPr>
        <w:spacing w:line="596" w:lineRule="exact"/>
        <w:ind w:firstLine="560" w:firstLineChars="200"/>
        <w:rPr>
          <w:rFonts w:hint="eastAsia" w:ascii="仿宋" w:hAnsi="仿宋" w:eastAsia="仿宋" w:cs="仿宋"/>
          <w:sz w:val="28"/>
          <w:szCs w:val="28"/>
        </w:rPr>
      </w:pPr>
      <w:r>
        <w:rPr>
          <w:rFonts w:ascii="仿宋" w:hAnsi="仿宋" w:eastAsia="仿宋" w:cs="仿宋"/>
          <w:sz w:val="28"/>
          <w:szCs w:val="28"/>
        </w:rPr>
        <w:t>符合</w:t>
      </w:r>
      <w:r>
        <w:rPr>
          <w:rFonts w:hint="eastAsia" w:ascii="仿宋" w:hAnsi="仿宋" w:eastAsia="仿宋" w:cs="仿宋"/>
          <w:sz w:val="28"/>
          <w:szCs w:val="28"/>
        </w:rPr>
        <w:t>授予学位要求的</w:t>
      </w:r>
      <w:r>
        <w:rPr>
          <w:rFonts w:ascii="仿宋" w:hAnsi="仿宋" w:eastAsia="仿宋" w:cs="仿宋"/>
          <w:sz w:val="28"/>
          <w:szCs w:val="28"/>
        </w:rPr>
        <w:t xml:space="preserve">毕业生授予 </w:t>
      </w:r>
      <w:r>
        <w:rPr>
          <w:rFonts w:hint="eastAsia" w:ascii="仿宋" w:hAnsi="仿宋" w:eastAsia="仿宋" w:cs="仿宋"/>
          <w:sz w:val="28"/>
          <w:szCs w:val="28"/>
        </w:rPr>
        <w:t>管理学</w:t>
      </w:r>
      <w:r>
        <w:rPr>
          <w:rFonts w:ascii="仿宋" w:hAnsi="仿宋" w:eastAsia="仿宋" w:cs="仿宋"/>
          <w:sz w:val="28"/>
          <w:szCs w:val="28"/>
        </w:rPr>
        <w:t>学士学位</w:t>
      </w:r>
      <w:r>
        <w:rPr>
          <w:rFonts w:hint="eastAsia" w:ascii="仿宋" w:hAnsi="仿宋" w:eastAsia="仿宋" w:cs="仿宋"/>
          <w:sz w:val="28"/>
          <w:szCs w:val="28"/>
        </w:rPr>
        <w:t>。</w:t>
      </w:r>
    </w:p>
    <w:p>
      <w:pPr>
        <w:pStyle w:val="3"/>
        <w:spacing w:before="40" w:after="40" w:line="360" w:lineRule="auto"/>
        <w:ind w:firstLine="602" w:firstLineChars="200"/>
        <w:rPr>
          <w:rFonts w:hint="eastAsia" w:ascii="黑体" w:hAnsi="黑体" w:eastAsia="黑体" w:cs="黑体"/>
          <w:sz w:val="30"/>
          <w:szCs w:val="30"/>
        </w:rPr>
      </w:pPr>
      <w:bookmarkStart w:id="60" w:name="_Toc19930"/>
      <w:r>
        <w:rPr>
          <w:rFonts w:hint="eastAsia" w:ascii="黑体" w:hAnsi="黑体" w:eastAsia="黑体" w:cs="黑体"/>
          <w:sz w:val="30"/>
          <w:szCs w:val="30"/>
        </w:rPr>
        <w:t>十、附录</w:t>
      </w:r>
      <w:bookmarkEnd w:id="60"/>
    </w:p>
    <w:p>
      <w:pPr>
        <w:pStyle w:val="2"/>
        <w:ind w:firstLine="562" w:firstLineChars="200"/>
        <w:rPr>
          <w:rFonts w:hint="eastAsia" w:ascii="仿宋_GB2312" w:hAnsi="仿宋_GB2312" w:eastAsia="仿宋_GB2312" w:cs="仿宋_GB2312"/>
          <w:sz w:val="28"/>
          <w:szCs w:val="36"/>
        </w:rPr>
      </w:pPr>
      <w:bookmarkStart w:id="61" w:name="_Toc13743"/>
      <w:r>
        <w:rPr>
          <w:rFonts w:hint="eastAsia" w:ascii="仿宋_GB2312" w:hAnsi="仿宋_GB2312" w:eastAsia="仿宋_GB2312" w:cs="仿宋_GB2312"/>
          <w:sz w:val="28"/>
          <w:szCs w:val="36"/>
        </w:rPr>
        <w:t>（一）第一课堂进程安排表</w:t>
      </w:r>
      <w:bookmarkEnd w:id="61"/>
    </w:p>
    <w:p>
      <w:pPr>
        <w:rPr>
          <w:rFonts w:hint="eastAsia" w:ascii="仿宋" w:hAnsi="仿宋" w:eastAsia="仿宋" w:cs="仿宋"/>
          <w:sz w:val="28"/>
          <w:szCs w:val="36"/>
        </w:rPr>
      </w:pPr>
      <w:r>
        <w:rPr>
          <w:rFonts w:hint="eastAsia" w:ascii="仿宋" w:hAnsi="仿宋" w:eastAsia="仿宋" w:cs="仿宋"/>
          <w:sz w:val="28"/>
          <w:szCs w:val="36"/>
        </w:rPr>
        <w:br w:type="page"/>
      </w:r>
    </w:p>
    <w:p>
      <w:pPr>
        <w:sectPr>
          <w:footerReference r:id="rId5" w:type="default"/>
          <w:pgSz w:w="11906" w:h="16838"/>
          <w:pgMar w:top="1440" w:right="1800" w:bottom="1440" w:left="1800" w:header="851" w:footer="992" w:gutter="0"/>
          <w:cols w:space="425" w:num="1"/>
          <w:docGrid w:type="lines" w:linePitch="312" w:charSpace="0"/>
        </w:sectPr>
      </w:pPr>
    </w:p>
    <w:p>
      <w:pPr>
        <w:jc w:val="center"/>
        <w:rPr>
          <w:b/>
          <w:bCs/>
          <w:sz w:val="24"/>
          <w:szCs w:val="32"/>
        </w:rPr>
      </w:pPr>
      <w:r>
        <w:rPr>
          <w:rFonts w:hint="eastAsia"/>
          <w:b/>
          <w:bCs/>
          <w:sz w:val="24"/>
          <w:szCs w:val="32"/>
        </w:rPr>
        <w:t>表  第一课堂进程安排表</w:t>
      </w:r>
    </w:p>
    <w:tbl>
      <w:tblPr>
        <w:tblStyle w:val="14"/>
        <w:tblpPr w:leftFromText="180" w:rightFromText="180" w:vertAnchor="text" w:horzAnchor="page" w:tblpX="1448" w:tblpY="539"/>
        <w:tblOverlap w:val="never"/>
        <w:tblW w:w="0" w:type="auto"/>
        <w:tblInd w:w="0" w:type="dxa"/>
        <w:tblLayout w:type="autofit"/>
        <w:tblCellMar>
          <w:top w:w="0" w:type="dxa"/>
          <w:left w:w="108" w:type="dxa"/>
          <w:bottom w:w="0" w:type="dxa"/>
          <w:right w:w="108" w:type="dxa"/>
        </w:tblCellMar>
      </w:tblPr>
      <w:tblGrid>
        <w:gridCol w:w="761"/>
        <w:gridCol w:w="1038"/>
        <w:gridCol w:w="679"/>
        <w:gridCol w:w="2036"/>
        <w:gridCol w:w="665"/>
        <w:gridCol w:w="748"/>
        <w:gridCol w:w="828"/>
        <w:gridCol w:w="1004"/>
        <w:gridCol w:w="886"/>
        <w:gridCol w:w="579"/>
        <w:gridCol w:w="579"/>
        <w:gridCol w:w="579"/>
        <w:gridCol w:w="579"/>
        <w:gridCol w:w="579"/>
        <w:gridCol w:w="579"/>
        <w:gridCol w:w="579"/>
        <w:gridCol w:w="579"/>
        <w:gridCol w:w="897"/>
      </w:tblGrid>
      <w:tr>
        <w:tblPrEx>
          <w:tblCellMar>
            <w:top w:w="0" w:type="dxa"/>
            <w:left w:w="108" w:type="dxa"/>
            <w:bottom w:w="0" w:type="dxa"/>
            <w:right w:w="108" w:type="dxa"/>
          </w:tblCellMar>
        </w:tblPrEx>
        <w:trPr>
          <w:trHeight w:val="270" w:hRule="atLeast"/>
        </w:trPr>
        <w:tc>
          <w:tcPr>
            <w:tcW w:w="1799" w:type="dxa"/>
            <w:gridSpan w:val="2"/>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课程模块</w:t>
            </w:r>
          </w:p>
        </w:tc>
        <w:tc>
          <w:tcPr>
            <w:tcW w:w="67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序号</w:t>
            </w:r>
          </w:p>
        </w:tc>
        <w:tc>
          <w:tcPr>
            <w:tcW w:w="2036"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课程名称</w:t>
            </w:r>
          </w:p>
        </w:tc>
        <w:tc>
          <w:tcPr>
            <w:tcW w:w="66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总学分</w:t>
            </w:r>
          </w:p>
        </w:tc>
        <w:tc>
          <w:tcPr>
            <w:tcW w:w="74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总学时</w:t>
            </w:r>
          </w:p>
        </w:tc>
        <w:tc>
          <w:tcPr>
            <w:tcW w:w="2718"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2"/>
                <w:szCs w:val="22"/>
              </w:rPr>
            </w:pPr>
            <w:r>
              <w:rPr>
                <w:rFonts w:hint="eastAsia" w:ascii="仿宋_GB2312" w:hAnsi="宋体" w:eastAsia="仿宋_GB2312" w:cs="宋体"/>
                <w:b/>
                <w:bCs/>
                <w:color w:val="000000"/>
                <w:kern w:val="0"/>
                <w:sz w:val="22"/>
                <w:szCs w:val="22"/>
              </w:rPr>
              <w:t>学时</w:t>
            </w:r>
          </w:p>
        </w:tc>
        <w:tc>
          <w:tcPr>
            <w:tcW w:w="1158"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第一学年</w:t>
            </w:r>
          </w:p>
        </w:tc>
        <w:tc>
          <w:tcPr>
            <w:tcW w:w="1158"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第二学年</w:t>
            </w:r>
          </w:p>
        </w:tc>
        <w:tc>
          <w:tcPr>
            <w:tcW w:w="1158"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第三学年</w:t>
            </w:r>
          </w:p>
        </w:tc>
        <w:tc>
          <w:tcPr>
            <w:tcW w:w="1158"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第四学年</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ascii="仿宋_GB2312" w:hAnsi="宋体" w:eastAsia="仿宋_GB2312" w:cs="宋体"/>
                <w:b/>
                <w:bCs/>
                <w:color w:val="000000"/>
                <w:kern w:val="0"/>
                <w:szCs w:val="21"/>
              </w:rPr>
              <w:t>备注</w:t>
            </w:r>
          </w:p>
        </w:tc>
      </w:tr>
      <w:tr>
        <w:tblPrEx>
          <w:tblCellMar>
            <w:top w:w="0" w:type="dxa"/>
            <w:left w:w="108" w:type="dxa"/>
            <w:bottom w:w="0" w:type="dxa"/>
            <w:right w:w="108" w:type="dxa"/>
          </w:tblCellMar>
        </w:tblPrEx>
        <w:trPr>
          <w:trHeight w:val="540" w:hRule="atLeast"/>
        </w:trPr>
        <w:tc>
          <w:tcPr>
            <w:tcW w:w="1799" w:type="dxa"/>
            <w:gridSpan w:val="2"/>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b/>
                <w:bCs/>
                <w:color w:val="000000"/>
                <w:kern w:val="0"/>
                <w:szCs w:val="21"/>
              </w:rPr>
            </w:pPr>
          </w:p>
        </w:tc>
        <w:tc>
          <w:tcPr>
            <w:tcW w:w="679"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b/>
                <w:bCs/>
                <w:color w:val="000000"/>
                <w:kern w:val="0"/>
                <w:szCs w:val="21"/>
              </w:rPr>
            </w:pPr>
          </w:p>
        </w:tc>
        <w:tc>
          <w:tcPr>
            <w:tcW w:w="2036"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b/>
                <w:bCs/>
                <w:color w:val="000000"/>
                <w:kern w:val="0"/>
                <w:szCs w:val="21"/>
              </w:rPr>
            </w:pPr>
          </w:p>
        </w:tc>
        <w:tc>
          <w:tcPr>
            <w:tcW w:w="665"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b/>
                <w:bCs/>
                <w:color w:val="000000"/>
                <w:kern w:val="0"/>
                <w:szCs w:val="21"/>
              </w:rPr>
            </w:pPr>
          </w:p>
        </w:tc>
        <w:tc>
          <w:tcPr>
            <w:tcW w:w="74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b/>
                <w:bCs/>
                <w:color w:val="000000"/>
                <w:kern w:val="0"/>
                <w:szCs w:val="21"/>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2"/>
                <w:szCs w:val="22"/>
              </w:rPr>
            </w:pPr>
            <w:r>
              <w:rPr>
                <w:rFonts w:hint="eastAsia" w:ascii="仿宋_GB2312" w:hAnsi="宋体" w:eastAsia="仿宋_GB2312" w:cs="宋体"/>
                <w:b/>
                <w:bCs/>
                <w:color w:val="000000"/>
                <w:kern w:val="0"/>
                <w:sz w:val="22"/>
                <w:szCs w:val="22"/>
              </w:rPr>
              <w:t>课内理论</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2"/>
                <w:szCs w:val="22"/>
              </w:rPr>
            </w:pPr>
            <w:r>
              <w:rPr>
                <w:rFonts w:hint="eastAsia" w:ascii="仿宋_GB2312" w:hAnsi="宋体" w:eastAsia="仿宋_GB2312" w:cs="宋体"/>
                <w:b/>
                <w:bCs/>
                <w:color w:val="000000"/>
                <w:kern w:val="0"/>
                <w:sz w:val="22"/>
                <w:szCs w:val="22"/>
              </w:rPr>
              <w:t>课内实验/实训</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2"/>
                <w:szCs w:val="22"/>
              </w:rPr>
            </w:pPr>
            <w:r>
              <w:rPr>
                <w:rFonts w:hint="eastAsia" w:ascii="仿宋_GB2312" w:hAnsi="宋体" w:eastAsia="仿宋_GB2312" w:cs="宋体"/>
                <w:b/>
                <w:bCs/>
                <w:color w:val="000000"/>
                <w:kern w:val="0"/>
                <w:sz w:val="22"/>
                <w:szCs w:val="22"/>
              </w:rPr>
              <w:t>课外实践教学</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1</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5</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7</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8</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p>
        </w:tc>
      </w:tr>
      <w:tr>
        <w:tblPrEx>
          <w:tblCellMar>
            <w:top w:w="0" w:type="dxa"/>
            <w:left w:w="108" w:type="dxa"/>
            <w:bottom w:w="0" w:type="dxa"/>
            <w:right w:w="108" w:type="dxa"/>
          </w:tblCellMar>
        </w:tblPrEx>
        <w:trPr>
          <w:trHeight w:val="270" w:hRule="atLeast"/>
        </w:trPr>
        <w:tc>
          <w:tcPr>
            <w:tcW w:w="1799" w:type="dxa"/>
            <w:gridSpan w:val="2"/>
            <w:vMerge w:val="restart"/>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通识必修课程</w:t>
            </w: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军事理论</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22</w:t>
            </w:r>
          </w:p>
        </w:tc>
        <w:tc>
          <w:tcPr>
            <w:tcW w:w="1004" w:type="dxa"/>
            <w:tcBorders>
              <w:top w:val="nil"/>
              <w:left w:val="nil"/>
              <w:bottom w:val="nil"/>
              <w:right w:val="nil"/>
            </w:tcBorders>
            <w:noWrap/>
            <w:vAlign w:val="center"/>
          </w:tcPr>
          <w:p>
            <w:pPr>
              <w:widowControl/>
              <w:jc w:val="center"/>
              <w:rPr>
                <w:rFonts w:hint="eastAsia" w:ascii="仿宋_GB2312" w:hAnsi="宋体" w:eastAsia="仿宋_GB2312" w:cs="宋体"/>
                <w:color w:val="000000"/>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nil"/>
              <w:left w:val="nil"/>
              <w:bottom w:val="nil"/>
              <w:right w:val="nil"/>
            </w:tcBorders>
            <w:noWrap/>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形势与政策（一）-（六）</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18</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思想道德与法治</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国家安全教育</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5</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马克思主义基本原理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6</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中国近现代史纲要</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7</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毛泽东思想和中国特色社会主义理论体系概论</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8</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习近平新时代中国特色社会主义思想概论</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nil"/>
              <w:left w:val="nil"/>
              <w:bottom w:val="nil"/>
              <w:right w:val="nil"/>
            </w:tcBorders>
            <w:noWrap/>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9</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中华民族共同体概论</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10</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大学生职业发展与就业指导（一）-（二）</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大学生创新与创业实务（一）-（二）</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大学生安全教育（一）-（六）</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军事技能</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112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112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112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大学生心理健康教育（一）-（二）</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15</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大学体育（一）-（四）</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144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112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艺术修养</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17</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大学英语（一）-（二）</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6</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96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84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18</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信息技术</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19</w:t>
            </w:r>
          </w:p>
        </w:tc>
        <w:tc>
          <w:tcPr>
            <w:tcW w:w="2036" w:type="dxa"/>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人工智能应用基础</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1799" w:type="dxa"/>
            <w:gridSpan w:val="2"/>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2715"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小计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51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964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506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258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200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308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240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168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112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76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28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0</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p>
        </w:tc>
      </w:tr>
      <w:tr>
        <w:tblPrEx>
          <w:tblCellMar>
            <w:top w:w="0" w:type="dxa"/>
            <w:left w:w="108" w:type="dxa"/>
            <w:bottom w:w="0" w:type="dxa"/>
            <w:right w:w="108" w:type="dxa"/>
          </w:tblCellMar>
        </w:tblPrEx>
        <w:trPr>
          <w:trHeight w:val="270" w:hRule="atLeast"/>
        </w:trPr>
        <w:tc>
          <w:tcPr>
            <w:tcW w:w="7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通识选修课程</w:t>
            </w:r>
          </w:p>
        </w:tc>
        <w:tc>
          <w:tcPr>
            <w:tcW w:w="1038" w:type="dxa"/>
            <w:vMerge w:val="restart"/>
            <w:tcBorders>
              <w:top w:val="single" w:color="000000" w:sz="4" w:space="0"/>
              <w:left w:val="single" w:color="000000" w:sz="4" w:space="0"/>
              <w:bottom w:val="nil"/>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限定选修课程</w:t>
            </w:r>
          </w:p>
        </w:tc>
        <w:tc>
          <w:tcPr>
            <w:tcW w:w="679" w:type="dxa"/>
            <w:vMerge w:val="restart"/>
            <w:tcBorders>
              <w:top w:val="single" w:color="000000" w:sz="4" w:space="0"/>
              <w:left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四史类</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中国共产党简史</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4632" w:type="dxa"/>
            <w:gridSpan w:val="8"/>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至少修得1学分</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vMerge w:val="continue"/>
            <w:tcBorders>
              <w:left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社会主义发展史</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4632" w:type="dxa"/>
            <w:gridSpan w:val="8"/>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vMerge w:val="continue"/>
            <w:tcBorders>
              <w:left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新中国史</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4632" w:type="dxa"/>
            <w:gridSpan w:val="8"/>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vMerge w:val="continue"/>
            <w:tcBorders>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改革开放史</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4632" w:type="dxa"/>
            <w:gridSpan w:val="8"/>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人文素养类</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通用礼仪</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478"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任意选修课程</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tcBorders>
              <w:top w:val="nil"/>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2715" w:type="dxa"/>
            <w:gridSpan w:val="2"/>
            <w:tcBorders>
              <w:top w:val="nil"/>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小计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6</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96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86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10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专业必修课程</w:t>
            </w:r>
          </w:p>
        </w:tc>
        <w:tc>
          <w:tcPr>
            <w:tcW w:w="1038" w:type="dxa"/>
            <w:vMerge w:val="restart"/>
            <w:tcBorders>
              <w:top w:val="single" w:color="000000" w:sz="4" w:space="0"/>
              <w:left w:val="single" w:color="000000" w:sz="4" w:space="0"/>
              <w:bottom w:val="nil"/>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专业通识课程</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经济数学</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54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ascii="仿宋_GB2312" w:hAnsi="宋体" w:eastAsia="仿宋_GB2312" w:cs="宋体"/>
                <w:color w:val="000000"/>
                <w:kern w:val="0"/>
                <w:szCs w:val="21"/>
              </w:rPr>
              <w:t>概率论与数理统计</w:t>
            </w:r>
          </w:p>
        </w:tc>
        <w:tc>
          <w:tcPr>
            <w:tcW w:w="665"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w:t>
            </w:r>
          </w:p>
        </w:tc>
        <w:tc>
          <w:tcPr>
            <w:tcW w:w="748"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1004"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restart"/>
            <w:tcBorders>
              <w:top w:val="single" w:color="000000" w:sz="4" w:space="0"/>
              <w:left w:val="single" w:color="000000" w:sz="4" w:space="0"/>
              <w:bottom w:val="nil"/>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ascii="仿宋_GB2312" w:hAnsi="宋体" w:eastAsia="仿宋_GB2312" w:cs="宋体"/>
                <w:color w:val="000000"/>
                <w:kern w:val="0"/>
                <w:szCs w:val="21"/>
              </w:rPr>
              <w:t>专业基础课程</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入学教育与专业入门</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智慧物流与供应链基础</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24</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5</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精益生产管理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6</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管理运筹学</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24</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7</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电工电子技术</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8</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物流大数据分析与应用</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restart"/>
            <w:tcBorders>
              <w:top w:val="single" w:color="000000" w:sz="4" w:space="0"/>
              <w:left w:val="single" w:color="000000" w:sz="4" w:space="0"/>
              <w:bottom w:val="nil"/>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ascii="仿宋_GB2312" w:hAnsi="宋体" w:eastAsia="仿宋_GB2312" w:cs="宋体"/>
                <w:color w:val="000000"/>
                <w:kern w:val="0"/>
                <w:szCs w:val="21"/>
              </w:rPr>
              <w:t>专业核心课程</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9</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智慧仓储与配送管理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10</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汽车零部件集配作业管理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64</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智慧运输运营</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64</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汽车工业物流规划设计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96</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32</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96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制造企业采购管理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64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数智供应链技术</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1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15</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智能物流设施设备应用技术</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16</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物流成本与绩效管理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48</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30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专业拓展课</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17</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企业班组建设与管理</w:t>
            </w:r>
          </w:p>
        </w:tc>
        <w:tc>
          <w:tcPr>
            <w:tcW w:w="665"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18</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低空物流运营管理</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80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19</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物流数字化管理</w:t>
            </w:r>
          </w:p>
        </w:tc>
        <w:tc>
          <w:tcPr>
            <w:tcW w:w="665"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2715"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小计</w:t>
            </w:r>
          </w:p>
        </w:tc>
        <w:tc>
          <w:tcPr>
            <w:tcW w:w="665"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68</w:t>
            </w:r>
          </w:p>
        </w:tc>
        <w:tc>
          <w:tcPr>
            <w:tcW w:w="748"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1088</w:t>
            </w:r>
          </w:p>
        </w:tc>
        <w:tc>
          <w:tcPr>
            <w:tcW w:w="828"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456</w:t>
            </w:r>
          </w:p>
        </w:tc>
        <w:tc>
          <w:tcPr>
            <w:tcW w:w="1004"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520</w:t>
            </w:r>
          </w:p>
        </w:tc>
        <w:tc>
          <w:tcPr>
            <w:tcW w:w="886"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112</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128</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224</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224</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160</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160</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176</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0</w:t>
            </w:r>
          </w:p>
        </w:tc>
        <w:tc>
          <w:tcPr>
            <w:tcW w:w="579" w:type="dxa"/>
            <w:tcBorders>
              <w:top w:val="single" w:color="000000" w:sz="4" w:space="0"/>
              <w:left w:val="single" w:color="000000" w:sz="4" w:space="0"/>
              <w:bottom w:val="single" w:color="000000" w:sz="4" w:space="0"/>
              <w:right w:val="single" w:color="000000" w:sz="4" w:space="0"/>
            </w:tcBorders>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0</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综合实践课程</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劳动教育—工业·匠心</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886" w:type="dxa"/>
            <w:tcBorders>
              <w:top w:val="nil"/>
              <w:left w:val="nil"/>
              <w:bottom w:val="nil"/>
              <w:right w:val="nil"/>
            </w:tcBorders>
            <w:noWrap/>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课程设计1：物流综合作业方案设计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vMerge w:val="restart"/>
            <w:tcBorders>
              <w:top w:val="nil"/>
              <w:left w:val="single" w:color="000000" w:sz="4" w:space="0"/>
              <w:bottom w:val="nil"/>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学期综合实践项目</w:t>
            </w:r>
          </w:p>
        </w:tc>
      </w:tr>
      <w:tr>
        <w:tblPrEx>
          <w:tblCellMar>
            <w:top w:w="0" w:type="dxa"/>
            <w:left w:w="108" w:type="dxa"/>
            <w:bottom w:w="0" w:type="dxa"/>
            <w:right w:w="108" w:type="dxa"/>
          </w:tblCellMar>
        </w:tblPrEx>
        <w:trPr>
          <w:trHeight w:val="525"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课程设计2：汽车智能物流规划设计与评估实施</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897"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r>
      <w:tr>
        <w:tblPrEx>
          <w:tblCellMar>
            <w:top w:w="0" w:type="dxa"/>
            <w:left w:w="108" w:type="dxa"/>
            <w:bottom w:w="0" w:type="dxa"/>
            <w:right w:w="108" w:type="dxa"/>
          </w:tblCellMar>
        </w:tblPrEx>
        <w:trPr>
          <w:trHeight w:val="525"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课程设计3：供应链建模与网络优化</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897"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r>
      <w:tr>
        <w:tblPrEx>
          <w:tblCellMar>
            <w:top w:w="0" w:type="dxa"/>
            <w:left w:w="108" w:type="dxa"/>
            <w:bottom w:w="0" w:type="dxa"/>
            <w:right w:w="108" w:type="dxa"/>
          </w:tblCellMar>
        </w:tblPrEx>
        <w:trPr>
          <w:trHeight w:val="525"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课程设计4：智能物流装备联动方案设计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20</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ascii="Times New Roman" w:hAnsi="Times New Roman" w:eastAsia="Times New Roman" w:cs="Times New Roman"/>
                <w:kern w:val="0"/>
                <w:sz w:val="20"/>
                <w:szCs w:val="20"/>
              </w:rPr>
            </w:pPr>
          </w:p>
        </w:tc>
        <w:tc>
          <w:tcPr>
            <w:tcW w:w="897"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25</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毕业设计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5</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120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26</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综合实践</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240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27</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岗位实习</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240</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240</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2715"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小计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26</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752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0</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112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640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360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240</w:t>
            </w: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p>
        </w:tc>
      </w:tr>
      <w:tr>
        <w:tblPrEx>
          <w:tblCellMar>
            <w:top w:w="0" w:type="dxa"/>
            <w:left w:w="108" w:type="dxa"/>
            <w:bottom w:w="0" w:type="dxa"/>
            <w:right w:w="108" w:type="dxa"/>
          </w:tblCellMar>
        </w:tblPrEx>
        <w:trPr>
          <w:trHeight w:val="510" w:hRule="atLeast"/>
        </w:trPr>
        <w:tc>
          <w:tcPr>
            <w:tcW w:w="7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专业选修课程</w:t>
            </w:r>
          </w:p>
        </w:tc>
        <w:tc>
          <w:tcPr>
            <w:tcW w:w="1038" w:type="dxa"/>
            <w:vMerge w:val="restart"/>
            <w:tcBorders>
              <w:top w:val="nil"/>
              <w:left w:val="single" w:color="000000" w:sz="4" w:space="0"/>
              <w:bottom w:val="nil"/>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工业包装设计与应用（限选）</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64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国际货运代理（限选）</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32</w:t>
            </w:r>
          </w:p>
        </w:tc>
        <w:tc>
          <w:tcPr>
            <w:tcW w:w="828"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2"/>
                <w:szCs w:val="22"/>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525"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汽车出口物流实务（限选）</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24</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叉车驾驶技术（限选）</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44</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5</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物流项目运营（限选）</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8</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6</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rPr>
                <w:rFonts w:hint="eastAsia" w:ascii="仿宋" w:hAnsi="仿宋" w:eastAsia="仿宋" w:cs="宋体"/>
                <w:color w:val="000000"/>
                <w:kern w:val="0"/>
                <w:szCs w:val="21"/>
              </w:rPr>
            </w:pPr>
            <w:r>
              <w:rPr>
                <w:rFonts w:hint="eastAsia" w:ascii="仿宋" w:hAnsi="仿宋" w:eastAsia="仿宋" w:cs="宋体"/>
                <w:color w:val="000000"/>
                <w:kern w:val="0"/>
                <w:szCs w:val="21"/>
              </w:rPr>
              <w:t>冷链物流</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7</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rPr>
                <w:rFonts w:hint="eastAsia" w:ascii="仿宋" w:hAnsi="仿宋" w:eastAsia="仿宋" w:cs="宋体"/>
                <w:color w:val="000000"/>
                <w:kern w:val="0"/>
                <w:szCs w:val="21"/>
              </w:rPr>
            </w:pPr>
            <w:r>
              <w:rPr>
                <w:rFonts w:hint="eastAsia" w:ascii="仿宋" w:hAnsi="仿宋" w:eastAsia="仿宋" w:cs="宋体"/>
                <w:color w:val="000000"/>
                <w:kern w:val="0"/>
                <w:szCs w:val="21"/>
              </w:rPr>
              <w:t>物流专业英语</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8</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rPr>
                <w:rFonts w:hint="eastAsia" w:ascii="仿宋" w:hAnsi="仿宋" w:eastAsia="仿宋" w:cs="宋体"/>
                <w:color w:val="000000"/>
                <w:kern w:val="0"/>
                <w:szCs w:val="21"/>
              </w:rPr>
            </w:pPr>
            <w:r>
              <w:rPr>
                <w:rFonts w:hint="eastAsia" w:ascii="仿宋" w:hAnsi="仿宋" w:eastAsia="仿宋" w:cs="宋体"/>
                <w:color w:val="000000"/>
                <w:kern w:val="0"/>
                <w:szCs w:val="21"/>
              </w:rPr>
              <w:t>电子商务</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2</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32</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16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r>
              <w:rPr>
                <w:rFonts w:hint="eastAsia" w:ascii="仿宋" w:hAnsi="仿宋" w:eastAsia="仿宋" w:cs="宋体"/>
                <w:color w:val="000000"/>
                <w:kern w:val="0"/>
                <w:szCs w:val="21"/>
              </w:rPr>
              <w:t>16</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 w:hAnsi="仿宋" w:eastAsia="仿宋" w:cs="宋体"/>
                <w:color w:val="000000"/>
                <w:kern w:val="0"/>
                <w:szCs w:val="21"/>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32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nil"/>
              <w:left w:val="single" w:color="000000" w:sz="4" w:space="0"/>
              <w:bottom w:val="nil"/>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9</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其他专业选修课</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仿宋_GB2312" w:hAnsi="宋体" w:eastAsia="仿宋_GB2312" w:cs="宋体"/>
                <w:color w:val="000000"/>
                <w:kern w:val="0"/>
                <w:szCs w:val="21"/>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“微专业”课程组</w:t>
            </w: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10</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ascii="Times New Roman" w:hAnsi="Times New Roman" w:eastAsia="Times New Roman" w:cs="Times New Roman"/>
                <w:kern w:val="0"/>
                <w:sz w:val="20"/>
                <w:szCs w:val="20"/>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11</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ascii="Times New Roman" w:hAnsi="Times New Roman" w:eastAsia="Times New Roman" w:cs="Times New Roman"/>
                <w:kern w:val="0"/>
                <w:sz w:val="20"/>
                <w:szCs w:val="20"/>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12</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ascii="Times New Roman" w:hAnsi="Times New Roman" w:eastAsia="Times New Roman" w:cs="Times New Roman"/>
                <w:kern w:val="0"/>
                <w:sz w:val="20"/>
                <w:szCs w:val="20"/>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13</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ascii="Times New Roman" w:hAnsi="Times New Roman" w:eastAsia="Times New Roman" w:cs="Times New Roman"/>
                <w:kern w:val="0"/>
                <w:sz w:val="20"/>
                <w:szCs w:val="20"/>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6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r>
              <w:rPr>
                <w:rFonts w:hint="eastAsia" w:ascii="仿宋_GB2312" w:hAnsi="宋体" w:eastAsia="仿宋_GB2312" w:cs="宋体"/>
                <w:color w:val="000000"/>
                <w:kern w:val="0"/>
                <w:szCs w:val="21"/>
              </w:rPr>
              <w:t>14</w:t>
            </w:r>
          </w:p>
        </w:tc>
        <w:tc>
          <w:tcPr>
            <w:tcW w:w="203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color w:val="000000"/>
                <w:kern w:val="0"/>
                <w:szCs w:val="21"/>
              </w:rPr>
            </w:pP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ascii="Times New Roman" w:hAnsi="Times New Roman" w:eastAsia="Times New Roman" w:cs="Times New Roman"/>
                <w:kern w:val="0"/>
                <w:sz w:val="20"/>
                <w:szCs w:val="20"/>
              </w:rPr>
            </w:pP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2715"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Cs w:val="21"/>
              </w:rPr>
            </w:pPr>
            <w:r>
              <w:rPr>
                <w:rFonts w:hint="eastAsia" w:ascii="仿宋_GB2312" w:hAnsi="宋体" w:eastAsia="仿宋_GB2312" w:cs="宋体"/>
                <w:b/>
                <w:bCs/>
                <w:color w:val="000000"/>
                <w:kern w:val="0"/>
                <w:szCs w:val="21"/>
              </w:rPr>
              <w:t>小计</w:t>
            </w:r>
          </w:p>
        </w:tc>
        <w:tc>
          <w:tcPr>
            <w:tcW w:w="665"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19</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304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156</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132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16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64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80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r>
              <w:rPr>
                <w:rFonts w:hint="eastAsia" w:ascii="仿宋_GB2312" w:hAnsi="宋体" w:eastAsia="仿宋_GB2312" w:cs="宋体"/>
                <w:b/>
                <w:bCs/>
                <w:color w:val="000000"/>
                <w:kern w:val="0"/>
                <w:sz w:val="20"/>
                <w:szCs w:val="20"/>
              </w:rPr>
              <w:t>48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0"/>
                <w:szCs w:val="20"/>
              </w:rPr>
            </w:pP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897"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270" w:hRule="atLeast"/>
        </w:trPr>
        <w:tc>
          <w:tcPr>
            <w:tcW w:w="761"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ascii="Times New Roman" w:hAnsi="Times New Roman" w:eastAsia="Times New Roman" w:cs="Times New Roman"/>
                <w:kern w:val="0"/>
                <w:sz w:val="20"/>
                <w:szCs w:val="20"/>
              </w:rPr>
            </w:pPr>
          </w:p>
        </w:tc>
        <w:tc>
          <w:tcPr>
            <w:tcW w:w="12375" w:type="dxa"/>
            <w:gridSpan w:val="16"/>
            <w:tcBorders>
              <w:top w:val="single" w:color="000000" w:sz="4" w:space="0"/>
              <w:left w:val="single" w:color="000000" w:sz="4" w:space="0"/>
              <w:bottom w:val="single" w:color="000000" w:sz="4" w:space="0"/>
              <w:right w:val="single" w:color="000000" w:sz="4" w:space="0"/>
            </w:tcBorders>
            <w:vAlign w:val="center"/>
          </w:tcPr>
          <w:p>
            <w:pPr>
              <w:widowControl/>
              <w:jc w:val="left"/>
              <w:rPr>
                <w:rFonts w:hint="eastAsia" w:ascii="仿宋_GB2312" w:hAnsi="宋体" w:eastAsia="仿宋_GB2312" w:cs="宋体"/>
                <w:color w:val="000000"/>
                <w:kern w:val="0"/>
                <w:sz w:val="20"/>
                <w:szCs w:val="20"/>
              </w:rPr>
            </w:pPr>
            <w:r>
              <w:rPr>
                <w:rFonts w:hint="eastAsia" w:ascii="仿宋_GB2312" w:hAnsi="宋体" w:eastAsia="仿宋_GB2312" w:cs="宋体"/>
                <w:color w:val="000000"/>
                <w:kern w:val="0"/>
                <w:sz w:val="20"/>
                <w:szCs w:val="20"/>
              </w:rPr>
              <w:t>注：含学生自主选修“微专业”8个学分，由学生自主选修。</w:t>
            </w:r>
          </w:p>
        </w:tc>
      </w:tr>
      <w:tr>
        <w:tblPrEx>
          <w:tblCellMar>
            <w:top w:w="0" w:type="dxa"/>
            <w:left w:w="108" w:type="dxa"/>
            <w:bottom w:w="0" w:type="dxa"/>
            <w:right w:w="108" w:type="dxa"/>
          </w:tblCellMar>
        </w:tblPrEx>
        <w:trPr>
          <w:trHeight w:val="315" w:hRule="atLeast"/>
        </w:trPr>
        <w:tc>
          <w:tcPr>
            <w:tcW w:w="4514" w:type="dxa"/>
            <w:gridSpan w:val="4"/>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合计</w:t>
            </w:r>
          </w:p>
        </w:tc>
        <w:tc>
          <w:tcPr>
            <w:tcW w:w="665"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170</w:t>
            </w:r>
          </w:p>
        </w:tc>
        <w:tc>
          <w:tcPr>
            <w:tcW w:w="74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3204</w:t>
            </w:r>
          </w:p>
        </w:tc>
        <w:tc>
          <w:tcPr>
            <w:tcW w:w="828"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1204</w:t>
            </w:r>
          </w:p>
        </w:tc>
        <w:tc>
          <w:tcPr>
            <w:tcW w:w="1004"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1032</w:t>
            </w:r>
          </w:p>
        </w:tc>
        <w:tc>
          <w:tcPr>
            <w:tcW w:w="886"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968</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436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494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422</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366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346</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284</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360</w:t>
            </w:r>
          </w:p>
        </w:tc>
        <w:tc>
          <w:tcPr>
            <w:tcW w:w="579"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仿宋_GB2312" w:hAnsi="宋体" w:eastAsia="仿宋_GB2312" w:cs="宋体"/>
                <w:b/>
                <w:bCs/>
                <w:color w:val="000000"/>
                <w:kern w:val="0"/>
                <w:sz w:val="24"/>
              </w:rPr>
            </w:pPr>
            <w:r>
              <w:rPr>
                <w:rFonts w:hint="eastAsia" w:ascii="仿宋_GB2312" w:hAnsi="宋体" w:eastAsia="仿宋_GB2312" w:cs="宋体"/>
                <w:b/>
                <w:bCs/>
                <w:color w:val="000000"/>
                <w:kern w:val="0"/>
                <w:sz w:val="24"/>
              </w:rPr>
              <w:t>240</w:t>
            </w:r>
          </w:p>
        </w:tc>
        <w:tc>
          <w:tcPr>
            <w:tcW w:w="897" w:type="dxa"/>
            <w:tcBorders>
              <w:top w:val="single" w:color="000000" w:sz="4" w:space="0"/>
              <w:left w:val="single" w:color="000000" w:sz="4" w:space="0"/>
              <w:bottom w:val="single" w:color="000000" w:sz="4" w:space="0"/>
              <w:right w:val="single" w:color="000000" w:sz="4" w:space="0"/>
            </w:tcBorders>
            <w:noWrap/>
            <w:vAlign w:val="center"/>
          </w:tcPr>
          <w:p>
            <w:pPr>
              <w:widowControl/>
              <w:jc w:val="center"/>
              <w:rPr>
                <w:rFonts w:hint="eastAsia" w:ascii="仿宋_GB2312" w:hAnsi="宋体" w:eastAsia="仿宋_GB2312" w:cs="宋体"/>
                <w:b/>
                <w:bCs/>
                <w:color w:val="000000"/>
                <w:kern w:val="0"/>
                <w:sz w:val="24"/>
              </w:rPr>
            </w:pPr>
          </w:p>
        </w:tc>
      </w:tr>
      <w:tr>
        <w:tblPrEx>
          <w:tblCellMar>
            <w:top w:w="0" w:type="dxa"/>
            <w:left w:w="108" w:type="dxa"/>
            <w:bottom w:w="0" w:type="dxa"/>
            <w:right w:w="108" w:type="dxa"/>
          </w:tblCellMar>
        </w:tblPrEx>
        <w:trPr>
          <w:trHeight w:val="270" w:hRule="atLeast"/>
        </w:trPr>
        <w:tc>
          <w:tcPr>
            <w:tcW w:w="8645" w:type="dxa"/>
            <w:gridSpan w:val="9"/>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仿宋_GB2312" w:hAnsi="宋体" w:eastAsia="仿宋_GB2312" w:cs="宋体"/>
                <w:color w:val="000000"/>
                <w:kern w:val="0"/>
                <w:sz w:val="22"/>
                <w:szCs w:val="22"/>
              </w:rPr>
            </w:pPr>
            <w:r>
              <w:rPr>
                <w:rFonts w:hint="eastAsia" w:ascii="仿宋_GB2312" w:hAnsi="宋体" w:eastAsia="仿宋_GB2312" w:cs="宋体"/>
                <w:color w:val="000000"/>
                <w:kern w:val="0"/>
                <w:sz w:val="22"/>
                <w:szCs w:val="22"/>
              </w:rPr>
              <w:t xml:space="preserve">                周学时</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27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31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26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23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22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18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23 </w:t>
            </w:r>
          </w:p>
        </w:tc>
        <w:tc>
          <w:tcPr>
            <w:tcW w:w="579"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 xml:space="preserve">15 </w:t>
            </w:r>
          </w:p>
        </w:tc>
        <w:tc>
          <w:tcPr>
            <w:tcW w:w="897" w:type="dxa"/>
            <w:tcBorders>
              <w:top w:val="single" w:color="000000" w:sz="4" w:space="0"/>
              <w:left w:val="single" w:color="000000" w:sz="4" w:space="0"/>
              <w:bottom w:val="single" w:color="000000" w:sz="4" w:space="0"/>
              <w:right w:val="single" w:color="000000" w:sz="4" w:space="0"/>
            </w:tcBorders>
            <w:noWrap/>
            <w:vAlign w:val="center"/>
          </w:tcPr>
          <w:p>
            <w:pPr>
              <w:widowControl/>
              <w:jc w:val="left"/>
              <w:rPr>
                <w:rFonts w:hint="eastAsia" w:ascii="宋体" w:hAnsi="宋体" w:eastAsia="宋体" w:cs="宋体"/>
                <w:color w:val="000000"/>
                <w:kern w:val="0"/>
                <w:sz w:val="22"/>
                <w:szCs w:val="22"/>
              </w:rPr>
            </w:pPr>
          </w:p>
        </w:tc>
      </w:tr>
    </w:tbl>
    <w:p>
      <w:pPr>
        <w:pStyle w:val="23"/>
        <w:adjustRightInd w:val="0"/>
        <w:snapToGrid w:val="0"/>
        <w:spacing w:line="360" w:lineRule="auto"/>
        <w:ind w:left="480" w:firstLine="0" w:firstLineChars="0"/>
        <w:rPr>
          <w:rFonts w:hint="eastAsia" w:ascii="仿宋" w:hAnsi="仿宋" w:eastAsia="仿宋" w:cs="仿宋"/>
          <w:sz w:val="28"/>
          <w:szCs w:val="28"/>
        </w:rPr>
      </w:pPr>
    </w:p>
    <w:p>
      <w:pPr>
        <w:pStyle w:val="23"/>
        <w:adjustRightInd w:val="0"/>
        <w:snapToGrid w:val="0"/>
        <w:spacing w:line="360" w:lineRule="auto"/>
        <w:ind w:left="480" w:firstLine="0" w:firstLineChars="0"/>
        <w:rPr>
          <w:rFonts w:hint="eastAsia" w:ascii="仿宋" w:hAnsi="仿宋" w:eastAsia="仿宋" w:cs="仿宋"/>
          <w:sz w:val="28"/>
          <w:szCs w:val="28"/>
        </w:rPr>
        <w:sectPr>
          <w:pgSz w:w="16838" w:h="11906" w:orient="landscape"/>
          <w:pgMar w:top="1803" w:right="1440" w:bottom="1803" w:left="1440" w:header="851" w:footer="992" w:gutter="0"/>
          <w:cols w:space="0" w:num="1"/>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62" w:name="_Toc2755"/>
      <w:r>
        <w:rPr>
          <w:rFonts w:hint="eastAsia" w:ascii="仿宋_GB2312" w:hAnsi="仿宋_GB2312" w:eastAsia="仿宋_GB2312" w:cs="仿宋_GB2312"/>
          <w:sz w:val="28"/>
          <w:szCs w:val="36"/>
        </w:rPr>
        <w:t>（二）第二课堂活动安排表</w:t>
      </w:r>
      <w:bookmarkEnd w:id="62"/>
    </w:p>
    <w:p/>
    <w:p>
      <w:pPr>
        <w:jc w:val="center"/>
        <w:rPr>
          <w:b/>
          <w:bCs/>
        </w:rPr>
      </w:pPr>
      <w:r>
        <w:rPr>
          <w:rFonts w:hint="eastAsia"/>
          <w:b/>
          <w:bCs/>
        </w:rPr>
        <w:t>表 第二课堂活动安排表</w:t>
      </w:r>
    </w:p>
    <w:tbl>
      <w:tblPr>
        <w:tblStyle w:val="14"/>
        <w:tblW w:w="0" w:type="auto"/>
        <w:tblInd w:w="0" w:type="dxa"/>
        <w:tblLayout w:type="autofit"/>
        <w:tblCellMar>
          <w:top w:w="0" w:type="dxa"/>
          <w:left w:w="108" w:type="dxa"/>
          <w:bottom w:w="0" w:type="dxa"/>
          <w:right w:w="108" w:type="dxa"/>
        </w:tblCellMar>
      </w:tblPr>
      <w:tblGrid>
        <w:gridCol w:w="1522"/>
        <w:gridCol w:w="512"/>
        <w:gridCol w:w="2027"/>
        <w:gridCol w:w="725"/>
        <w:gridCol w:w="426"/>
        <w:gridCol w:w="426"/>
        <w:gridCol w:w="426"/>
        <w:gridCol w:w="426"/>
        <w:gridCol w:w="426"/>
        <w:gridCol w:w="426"/>
        <w:gridCol w:w="426"/>
        <w:gridCol w:w="426"/>
        <w:gridCol w:w="4219"/>
        <w:gridCol w:w="1761"/>
      </w:tblGrid>
      <w:tr>
        <w:tblPrEx>
          <w:tblCellMar>
            <w:top w:w="0" w:type="dxa"/>
            <w:left w:w="108" w:type="dxa"/>
            <w:bottom w:w="0" w:type="dxa"/>
            <w:right w:w="108" w:type="dxa"/>
          </w:tblCellMar>
        </w:tblPrEx>
        <w:trPr>
          <w:trHeight w:val="174" w:hRule="atLeast"/>
          <w:tblHeader/>
        </w:trPr>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活动体系分类</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序号</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活动名称</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活动分/次</w:t>
            </w:r>
          </w:p>
        </w:tc>
        <w:tc>
          <w:tcPr>
            <w:tcW w:w="0" w:type="auto"/>
            <w:gridSpan w:val="8"/>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学期安排</w:t>
            </w:r>
          </w:p>
        </w:tc>
        <w:tc>
          <w:tcPr>
            <w:tcW w:w="421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活动对应课程名称</w:t>
            </w:r>
          </w:p>
        </w:tc>
        <w:tc>
          <w:tcPr>
            <w:tcW w:w="17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组织实施</w:t>
            </w:r>
          </w:p>
        </w:tc>
      </w:tr>
      <w:tr>
        <w:tblPrEx>
          <w:tblCellMar>
            <w:top w:w="0" w:type="dxa"/>
            <w:left w:w="108" w:type="dxa"/>
            <w:bottom w:w="0" w:type="dxa"/>
            <w:right w:w="108" w:type="dxa"/>
          </w:tblCellMar>
        </w:tblPrEx>
        <w:trPr>
          <w:trHeight w:val="106" w:hRule="atLeast"/>
          <w:tblHeader/>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b/>
                <w:bCs/>
                <w:color w:val="000000"/>
                <w:szCs w:val="21"/>
              </w:rPr>
            </w:pPr>
            <w:r>
              <w:rPr>
                <w:rFonts w:hint="eastAsia" w:ascii="仿宋_GB2312" w:hAnsi="仿宋_GB2312" w:eastAsia="仿宋_GB2312" w:cs="仿宋_GB2312"/>
                <w:b/>
                <w:bCs/>
                <w:color w:val="000000"/>
                <w:kern w:val="0"/>
                <w:szCs w:val="21"/>
                <w:lang w:bidi="ar"/>
              </w:rPr>
              <w:t>8</w:t>
            </w:r>
          </w:p>
        </w:tc>
        <w:tc>
          <w:tcPr>
            <w:tcW w:w="42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c>
          <w:tcPr>
            <w:tcW w:w="176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b/>
                <w:bCs/>
                <w:color w:val="000000"/>
                <w:szCs w:val="21"/>
              </w:rPr>
            </w:pP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（一）“立德修身”模块</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厚植爱国爱校情怀教育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形势与政策</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35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法治教育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思想道德与法治</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415"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新时代党的创新理论学习活动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习近平新时代中国特色社会主义思想概论</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1031"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铸牢中华民族共同体意识教育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中华民族共同体概论、中国近现代史纲要、马克思主义基本原理、毛泽东思想和中国特色社会主义理论体系概论</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行为规范准则教育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6</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校情教育与学习管理教育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7</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励志教育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感恩教育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9</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诚信教育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（二）“启智增知”模块</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10</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职业生涯规划大赛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大学生职业发展与就业指导</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11</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中国国际大学生创新大赛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大学生创新与创业实务</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教务处+通识教育学院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12</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创新创业训练营</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13</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创客马拉松</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模拟招聘大赛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就业处+通识教育学院</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15</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大学生演讲赛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大学语文</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16</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经典诵读比赛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pPr>
              <w:jc w:val="center"/>
              <w:rPr>
                <w:rFonts w:hint="eastAsia" w:ascii="仿宋_GB2312" w:hAnsi="仿宋_GB2312" w:eastAsia="仿宋_GB2312" w:cs="仿宋_GB2312"/>
                <w:b/>
                <w:bCs/>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17</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大学生辩论赛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18</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英语口语技能赛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大学英语</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19</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大学生英语竞赛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20</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英语风采赛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noWrap/>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21</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阅读活动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图书馆</w:t>
            </w:r>
          </w:p>
        </w:tc>
      </w:tr>
      <w:tr>
        <w:tblPrEx>
          <w:tblCellMar>
            <w:top w:w="0" w:type="dxa"/>
            <w:left w:w="108" w:type="dxa"/>
            <w:bottom w:w="0" w:type="dxa"/>
            <w:right w:w="108" w:type="dxa"/>
          </w:tblCellMar>
        </w:tblPrEx>
        <w:trPr>
          <w:trHeight w:val="274"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22</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数学文化讲座</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经济数学</w:t>
            </w:r>
          </w:p>
        </w:tc>
        <w:tc>
          <w:tcPr>
            <w:tcW w:w="176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高等数学</w:t>
            </w:r>
          </w:p>
        </w:tc>
        <w:tc>
          <w:tcPr>
            <w:tcW w:w="176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23</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数学建模竞赛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大学生数独竞赛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（三）“强体健心”模块</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25</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心理健康团体辅导</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大学生心理健康教育</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26</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3.25心理健康教育活动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27</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5.25心理健康教育活动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28</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心理剧大赛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29</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心理电影赏析</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30</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阳光长跑</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大学体育</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学工处+通识学院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31</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气排球联赛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32</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羽毛球联赛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33</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篮球联赛</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广西三月三民族体育文化节</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312"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35</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田径运动会</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校田径运动会组委会+二级学院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36</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安全教育</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大学生安全教育、</w:t>
            </w:r>
          </w:p>
        </w:tc>
        <w:tc>
          <w:tcPr>
            <w:tcW w:w="1761" w:type="dxa"/>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国家安全教育</w:t>
            </w:r>
          </w:p>
        </w:tc>
        <w:tc>
          <w:tcPr>
            <w:tcW w:w="1761" w:type="dxa"/>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37</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适应教育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新生入学教育</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38</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禁毒、防艾教育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学工处+团委+二级学院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（四）“美韵育情”模块</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39</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中华优秀传统文化教育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中国优秀传统文化</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马克思主义学院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40</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文明素养礼仪活动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通用礼仪</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41</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“五·四”文化艺术节系列活动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42</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“社团文化艺术节”系列活动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（五）“实践砺志”模块</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43</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劳动教育—工业·匠心</w:t>
            </w: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学工处+马克思主义学院+二级学院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垃圾分类教育</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后勤处+学工处+团委</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45</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科学商店进社区</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46</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假期社会实践</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47</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志愿者服务</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48</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三下乡活动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49</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社区挂职</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8</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50</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新生节活动</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w:t>
            </w: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0" w:type="auto"/>
            <w:tcBorders>
              <w:top w:val="single" w:color="000000" w:sz="4" w:space="0"/>
              <w:left w:val="single" w:color="000000" w:sz="4" w:space="0"/>
              <w:bottom w:val="single" w:color="000000" w:sz="4" w:space="0"/>
              <w:right w:val="single" w:color="000000" w:sz="4" w:space="0"/>
            </w:tcBorders>
            <w:vAlign w:val="center"/>
          </w:tcPr>
          <w:p>
            <w:pPr>
              <w:jc w:val="center"/>
              <w:rPr>
                <w:rFonts w:hint="eastAsia" w:ascii="仿宋_GB2312" w:hAnsi="仿宋_GB2312" w:eastAsia="仿宋_GB2312" w:cs="仿宋_GB2312"/>
                <w:color w:val="000000"/>
                <w:szCs w:val="21"/>
              </w:rPr>
            </w:pPr>
          </w:p>
        </w:tc>
        <w:tc>
          <w:tcPr>
            <w:tcW w:w="4219" w:type="dxa"/>
            <w:tcBorders>
              <w:top w:val="single" w:color="000000" w:sz="4" w:space="0"/>
              <w:left w:val="single" w:color="000000" w:sz="4" w:space="0"/>
              <w:bottom w:val="single" w:color="000000" w:sz="4" w:space="0"/>
              <w:right w:val="single" w:color="000000" w:sz="4" w:space="0"/>
            </w:tcBorders>
            <w:vAlign w:val="center"/>
          </w:tcPr>
          <w:p>
            <w:pPr>
              <w:rPr>
                <w:rFonts w:hint="eastAsia" w:ascii="仿宋_GB2312" w:hAnsi="仿宋_GB2312" w:eastAsia="仿宋_GB2312" w:cs="仿宋_GB2312"/>
                <w:color w:val="000000"/>
                <w:szCs w:val="21"/>
              </w:rPr>
            </w:pPr>
          </w:p>
        </w:tc>
        <w:tc>
          <w:tcPr>
            <w:tcW w:w="1761" w:type="dxa"/>
            <w:tcBorders>
              <w:top w:val="single" w:color="000000" w:sz="4" w:space="0"/>
              <w:left w:val="single" w:color="000000" w:sz="4" w:space="0"/>
              <w:bottom w:val="single" w:color="000000" w:sz="4" w:space="0"/>
              <w:right w:val="single" w:color="000000" w:sz="4" w:space="0"/>
            </w:tcBorders>
            <w:vAlign w:val="center"/>
          </w:tcPr>
          <w:p>
            <w:pPr>
              <w:widowControl/>
              <w:textAlignment w:val="center"/>
              <w:rPr>
                <w:rFonts w:hint="eastAsia" w:ascii="仿宋_GB2312" w:hAnsi="仿宋_GB2312" w:eastAsia="仿宋_GB2312" w:cs="仿宋_GB2312"/>
                <w:color w:val="000000"/>
                <w:szCs w:val="21"/>
              </w:rPr>
            </w:pPr>
            <w:r>
              <w:rPr>
                <w:rFonts w:hint="eastAsia" w:ascii="仿宋_GB2312" w:hAnsi="仿宋_GB2312" w:eastAsia="仿宋_GB2312" w:cs="仿宋_GB2312"/>
                <w:color w:val="000000"/>
                <w:kern w:val="0"/>
                <w:szCs w:val="21"/>
                <w:lang w:bidi="ar"/>
              </w:rPr>
              <w:t>团委+二级学院</w:t>
            </w:r>
          </w:p>
        </w:tc>
      </w:tr>
    </w:tbl>
    <w:p>
      <w:pPr>
        <w:sectPr>
          <w:pgSz w:w="16838" w:h="11906" w:orient="landscape"/>
          <w:pgMar w:top="1803" w:right="1440" w:bottom="1803" w:left="1440" w:header="851" w:footer="992" w:gutter="0"/>
          <w:cols w:space="0" w:num="1"/>
          <w:docGrid w:type="lines" w:linePitch="319" w:charSpace="0"/>
        </w:sectPr>
      </w:pPr>
    </w:p>
    <w:p>
      <w:pPr>
        <w:pStyle w:val="2"/>
        <w:ind w:firstLine="562" w:firstLineChars="200"/>
        <w:rPr>
          <w:rFonts w:hint="eastAsia" w:ascii="仿宋_GB2312" w:hAnsi="仿宋_GB2312" w:eastAsia="仿宋_GB2312" w:cs="仿宋_GB2312"/>
          <w:sz w:val="28"/>
          <w:szCs w:val="36"/>
        </w:rPr>
      </w:pPr>
      <w:bookmarkStart w:id="63" w:name="_Toc9726"/>
      <w:r>
        <w:rPr>
          <w:rFonts w:hint="eastAsia" w:ascii="仿宋_GB2312" w:hAnsi="仿宋_GB2312" w:eastAsia="仿宋_GB2312" w:cs="仿宋_GB2312"/>
          <w:sz w:val="28"/>
          <w:szCs w:val="36"/>
        </w:rPr>
        <w:t>（三）专业人才培养方案制定的说明</w:t>
      </w:r>
      <w:bookmarkEnd w:id="63"/>
    </w:p>
    <w:p>
      <w:pPr>
        <w:adjustRightInd w:val="0"/>
        <w:snapToGrid w:val="0"/>
        <w:spacing w:line="360" w:lineRule="auto"/>
        <w:ind w:firstLine="560" w:firstLineChars="200"/>
        <w:rPr>
          <w:rFonts w:hint="eastAsia" w:ascii="仿宋" w:hAnsi="仿宋" w:eastAsia="仿宋" w:cs="仿宋"/>
          <w:sz w:val="28"/>
          <w:szCs w:val="36"/>
        </w:rPr>
      </w:pPr>
      <w:r>
        <w:rPr>
          <w:rFonts w:hint="eastAsia" w:ascii="仿宋" w:hAnsi="仿宋" w:eastAsia="仿宋" w:cs="仿宋"/>
          <w:sz w:val="28"/>
          <w:szCs w:val="36"/>
        </w:rPr>
        <w:t>本专业人才培养方案的制定以《国家职业教育改革实施方案》的文件精神为指导，借鉴职业本科专业类教学标准（现代物流管理专业）和中华人民共和国物流行业标准《物流从业人员职业能力要求》对物流职业能力的要求；由校内物流专业教学研究专家与专任教师、校外来自生产企业、商贸流通企业的物流与供应链相关部门高层管理人员、第三方物流企业的企业专家、来自柳州市发改委、商务流通促进中心的产业经济专家共同研讨制定，经学院专业建设指导委员论证、修订，最终完成本人才培养方案的制度。</w:t>
      </w:r>
    </w:p>
    <w:p>
      <w:pPr>
        <w:adjustRightInd w:val="0"/>
        <w:snapToGrid w:val="0"/>
        <w:spacing w:line="360" w:lineRule="auto"/>
        <w:ind w:firstLine="560" w:firstLineChars="200"/>
        <w:rPr>
          <w:rFonts w:hint="eastAsia" w:ascii="仿宋" w:hAnsi="仿宋" w:eastAsia="仿宋" w:cs="仿宋"/>
          <w:sz w:val="28"/>
          <w:szCs w:val="36"/>
        </w:rPr>
      </w:pPr>
      <w:r>
        <w:rPr>
          <w:rFonts w:hint="eastAsia" w:ascii="仿宋" w:hAnsi="仿宋" w:eastAsia="仿宋" w:cs="仿宋"/>
          <w:sz w:val="28"/>
          <w:szCs w:val="36"/>
        </w:rPr>
        <w:t>对接物流产业，聚焦工业供应链物流技术领域，以汽车工业物流（物流产业高端）为载体；课程体系建设借鉴“岗课赛证”理念，对接物流行业新技术、新业态发展，课程设置兼顾学术性与职业性。同时，人才培养注重从学生就业出发,与各行业企业专家共同制定人才培养方案，培养能胜任物流领域的规划设计、技术应用、现场管理及业务运作等相关工作，有理想信念和工匠精神，掌握较高的理论知识和技术技能，能处理较复杂问题和操作的高层次技术技能型人才。</w:t>
      </w:r>
    </w:p>
    <w:p>
      <w:pPr>
        <w:adjustRightInd w:val="0"/>
        <w:snapToGrid w:val="0"/>
        <w:spacing w:line="360" w:lineRule="auto"/>
        <w:ind w:firstLine="560" w:firstLineChars="200"/>
        <w:rPr>
          <w:rFonts w:hint="eastAsia" w:ascii="仿宋" w:hAnsi="仿宋" w:eastAsia="仿宋" w:cs="仿宋"/>
          <w:sz w:val="28"/>
          <w:szCs w:val="36"/>
        </w:rPr>
      </w:pPr>
      <w:r>
        <w:rPr>
          <w:rFonts w:hint="eastAsia" w:ascii="仿宋" w:hAnsi="仿宋" w:eastAsia="仿宋" w:cs="仿宋"/>
          <w:sz w:val="28"/>
          <w:szCs w:val="36"/>
        </w:rPr>
        <w:t>校内人员：王慧、凌世寿、磨虹任、陶顺育、李晓雯、周柳军、缪亮、吕律、韦晓丽等。</w:t>
      </w:r>
    </w:p>
    <w:p>
      <w:pPr>
        <w:adjustRightInd w:val="0"/>
        <w:snapToGrid w:val="0"/>
        <w:spacing w:line="360" w:lineRule="auto"/>
        <w:ind w:firstLine="560" w:firstLineChars="200"/>
        <w:rPr>
          <w:rFonts w:hint="eastAsia" w:ascii="仿宋" w:hAnsi="仿宋" w:eastAsia="仿宋" w:cs="仿宋"/>
          <w:b/>
          <w:bCs/>
          <w:sz w:val="28"/>
          <w:szCs w:val="28"/>
        </w:rPr>
      </w:pPr>
      <w:r>
        <w:rPr>
          <w:rFonts w:hint="eastAsia" w:ascii="仿宋" w:hAnsi="仿宋" w:eastAsia="仿宋" w:cs="仿宋"/>
          <w:sz w:val="28"/>
          <w:szCs w:val="36"/>
        </w:rPr>
        <w:t>校外人员：韦智良（广西柳工机械股份有限公司、物流经理）、郭亮（柳州五菱物流有限公司、采购总监）、黄冬（柳州五菱新能源汽车有限公司、物流经理）、秦杰（赛克瑞浦动力电池系统有限公司、智能物流主任）、尹兴华（一汽解放汽车有限公司柳州分公司、物物流规划主管）。</w:t>
      </w:r>
    </w:p>
    <w:p>
      <w:pPr>
        <w:pStyle w:val="2"/>
        <w:ind w:firstLine="562" w:firstLineChars="200"/>
        <w:rPr>
          <w:rFonts w:hint="eastAsia" w:ascii="仿宋_GB2312" w:hAnsi="仿宋_GB2312" w:eastAsia="仿宋_GB2312" w:cs="仿宋_GB2312"/>
          <w:sz w:val="28"/>
          <w:szCs w:val="36"/>
        </w:rPr>
      </w:pPr>
      <w:bookmarkStart w:id="64" w:name="_Toc1106"/>
      <w:r>
        <w:rPr>
          <w:rFonts w:hint="eastAsia" w:ascii="仿宋_GB2312" w:hAnsi="仿宋_GB2312" w:eastAsia="仿宋_GB2312" w:cs="仿宋_GB2312"/>
          <w:sz w:val="28"/>
          <w:szCs w:val="36"/>
        </w:rPr>
        <w:t>（四）专业对应的职业/岗位分析</w:t>
      </w:r>
      <w:bookmarkEnd w:id="64"/>
    </w:p>
    <w:p>
      <w:pPr>
        <w:ind w:firstLine="560" w:firstLineChars="200"/>
        <w:rPr>
          <w:rFonts w:hint="eastAsia" w:ascii="仿宋" w:hAnsi="仿宋" w:eastAsia="仿宋" w:cs="仿宋"/>
          <w:sz w:val="28"/>
          <w:szCs w:val="36"/>
        </w:rPr>
      </w:pPr>
      <w:r>
        <w:rPr>
          <w:rFonts w:hint="eastAsia" w:ascii="仿宋" w:hAnsi="仿宋" w:eastAsia="仿宋" w:cs="仿宋"/>
          <w:sz w:val="28"/>
          <w:szCs w:val="36"/>
        </w:rPr>
        <w:t>结合企业调研、院校同行调研、网络调研以及工作任务分析会了解现代物流管理专业对应工作领域以及对应的职业能力要求，结合本专业定位实际，筛选出</w:t>
      </w:r>
      <w:r>
        <w:rPr>
          <w:rFonts w:ascii="仿宋" w:hAnsi="仿宋" w:eastAsia="仿宋" w:cs="仿宋"/>
          <w:sz w:val="28"/>
          <w:szCs w:val="36"/>
        </w:rPr>
        <w:t>7</w:t>
      </w:r>
      <w:r>
        <w:rPr>
          <w:rFonts w:hint="eastAsia" w:ascii="仿宋" w:hAnsi="仿宋" w:eastAsia="仿宋" w:cs="仿宋"/>
          <w:sz w:val="28"/>
          <w:szCs w:val="36"/>
        </w:rPr>
        <w:t>大工作领域，确定了相关职业能力要求。</w:t>
      </w:r>
    </w:p>
    <w:p/>
    <w:tbl>
      <w:tblPr>
        <w:tblStyle w:val="14"/>
        <w:tblW w:w="89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15" w:type="dxa"/>
          <w:right w:w="108" w:type="dxa"/>
        </w:tblCellMar>
      </w:tblPr>
      <w:tblGrid>
        <w:gridCol w:w="491"/>
        <w:gridCol w:w="1075"/>
        <w:gridCol w:w="7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blHeader/>
          <w:jc w:val="center"/>
        </w:trPr>
        <w:tc>
          <w:tcPr>
            <w:tcW w:w="0" w:type="auto"/>
            <w:vAlign w:val="center"/>
          </w:tcPr>
          <w:p>
            <w:pPr>
              <w:pStyle w:val="37"/>
              <w:rPr>
                <w:rFonts w:hint="eastAsia" w:ascii="仿宋" w:hAnsi="仿宋" w:eastAsia="仿宋"/>
              </w:rPr>
            </w:pPr>
            <w:r>
              <w:rPr>
                <w:rFonts w:hint="eastAsia" w:ascii="仿宋" w:hAnsi="仿宋" w:eastAsia="仿宋"/>
              </w:rPr>
              <w:t>序号</w:t>
            </w:r>
          </w:p>
        </w:tc>
        <w:tc>
          <w:tcPr>
            <w:tcW w:w="0" w:type="auto"/>
            <w:vAlign w:val="center"/>
          </w:tcPr>
          <w:p>
            <w:pPr>
              <w:pStyle w:val="37"/>
              <w:rPr>
                <w:rFonts w:hint="eastAsia" w:ascii="仿宋" w:hAnsi="仿宋" w:eastAsia="仿宋"/>
              </w:rPr>
            </w:pPr>
            <w:r>
              <w:rPr>
                <w:rFonts w:hint="eastAsia" w:ascii="仿宋" w:hAnsi="仿宋" w:eastAsia="仿宋"/>
              </w:rPr>
              <w:t>工作领域</w:t>
            </w:r>
          </w:p>
        </w:tc>
        <w:tc>
          <w:tcPr>
            <w:tcW w:w="7400" w:type="dxa"/>
            <w:vAlign w:val="center"/>
          </w:tcPr>
          <w:p>
            <w:pPr>
              <w:pStyle w:val="37"/>
              <w:rPr>
                <w:rFonts w:hint="eastAsia" w:ascii="仿宋" w:hAnsi="仿宋" w:eastAsia="仿宋"/>
              </w:rPr>
            </w:pPr>
            <w:r>
              <w:rPr>
                <w:rFonts w:hint="eastAsia" w:ascii="仿宋" w:hAnsi="仿宋" w:eastAsia="仿宋"/>
              </w:rPr>
              <w:t>职业能力要求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1</w:t>
            </w:r>
          </w:p>
        </w:tc>
        <w:tc>
          <w:tcPr>
            <w:tcW w:w="0" w:type="auto"/>
            <w:vAlign w:val="center"/>
          </w:tcPr>
          <w:p>
            <w:pPr>
              <w:pStyle w:val="37"/>
              <w:rPr>
                <w:rFonts w:hint="eastAsia" w:ascii="仿宋" w:hAnsi="仿宋" w:eastAsia="仿宋"/>
              </w:rPr>
            </w:pPr>
            <w:r>
              <w:rPr>
                <w:rFonts w:hint="eastAsia" w:ascii="仿宋" w:hAnsi="仿宋" w:eastAsia="仿宋"/>
              </w:rPr>
              <w:t>仓储数字化管理</w:t>
            </w:r>
          </w:p>
        </w:tc>
        <w:tc>
          <w:tcPr>
            <w:tcW w:w="7400" w:type="dxa"/>
          </w:tcPr>
          <w:p>
            <w:pPr>
              <w:pStyle w:val="37"/>
              <w:jc w:val="left"/>
              <w:rPr>
                <w:rFonts w:hint="eastAsia" w:ascii="仿宋" w:hAnsi="仿宋" w:eastAsia="仿宋"/>
              </w:rPr>
            </w:pPr>
            <w:r>
              <w:rPr>
                <w:rFonts w:hint="eastAsia" w:ascii="仿宋" w:hAnsi="仿宋" w:eastAsia="仿宋"/>
              </w:rPr>
              <w:t>1.掌握仓储业务管理的系统理论知识，具备现代化仓储设备操作使用的能力，能够进行仓储作业及其管理，能组织实施公共仓储业务、合同仓储业务</w:t>
            </w:r>
          </w:p>
          <w:p>
            <w:pPr>
              <w:pStyle w:val="37"/>
              <w:jc w:val="left"/>
              <w:rPr>
                <w:rFonts w:hint="eastAsia" w:ascii="仿宋" w:hAnsi="仿宋" w:eastAsia="仿宋"/>
              </w:rPr>
            </w:pPr>
            <w:r>
              <w:rPr>
                <w:rFonts w:ascii="仿宋" w:hAnsi="仿宋" w:eastAsia="仿宋"/>
              </w:rPr>
              <w:t>2</w:t>
            </w:r>
            <w:r>
              <w:rPr>
                <w:rFonts w:hint="eastAsia" w:ascii="仿宋" w:hAnsi="仿宋" w:eastAsia="仿宋"/>
              </w:rPr>
              <w:t>.能够运用合理的规划工具进行仓储设施规划、储存规划，使用物流仿真软件等进行仓储布局模拟与优化</w:t>
            </w:r>
          </w:p>
          <w:p>
            <w:pPr>
              <w:pStyle w:val="37"/>
              <w:jc w:val="left"/>
              <w:rPr>
                <w:rFonts w:hint="eastAsia" w:ascii="仿宋" w:hAnsi="仿宋" w:eastAsia="仿宋"/>
              </w:rPr>
            </w:pPr>
            <w:r>
              <w:rPr>
                <w:rFonts w:ascii="仿宋" w:hAnsi="仿宋" w:eastAsia="仿宋"/>
              </w:rPr>
              <w:t>3</w:t>
            </w:r>
            <w:r>
              <w:rPr>
                <w:rFonts w:hint="eastAsia" w:ascii="仿宋" w:hAnsi="仿宋" w:eastAsia="仿宋"/>
              </w:rPr>
              <w:t>.具备货物分类管理的能力，熟悉各类物料的处理流程与方法</w:t>
            </w:r>
          </w:p>
          <w:p>
            <w:pPr>
              <w:pStyle w:val="37"/>
              <w:jc w:val="left"/>
              <w:rPr>
                <w:rFonts w:hint="eastAsia" w:ascii="仿宋" w:hAnsi="仿宋" w:eastAsia="仿宋"/>
              </w:rPr>
            </w:pPr>
            <w:r>
              <w:rPr>
                <w:rFonts w:ascii="仿宋" w:hAnsi="仿宋" w:eastAsia="仿宋"/>
              </w:rPr>
              <w:t>4</w:t>
            </w:r>
            <w:r>
              <w:rPr>
                <w:rFonts w:hint="eastAsia" w:ascii="仿宋" w:hAnsi="仿宋" w:eastAsia="仿宋"/>
              </w:rPr>
              <w:t>.能够利用大数据技术等分析公司的库存状况、制定库存管理策略、合理控制库存，实现库存的动态优化</w:t>
            </w:r>
          </w:p>
          <w:p>
            <w:pPr>
              <w:pStyle w:val="37"/>
              <w:jc w:val="left"/>
              <w:rPr>
                <w:rFonts w:hint="eastAsia" w:ascii="仿宋" w:hAnsi="仿宋" w:eastAsia="仿宋"/>
              </w:rPr>
            </w:pPr>
            <w:r>
              <w:rPr>
                <w:rFonts w:ascii="仿宋" w:hAnsi="仿宋" w:eastAsia="仿宋"/>
              </w:rPr>
              <w:t>5</w:t>
            </w:r>
            <w:r>
              <w:rPr>
                <w:rFonts w:hint="eastAsia" w:ascii="仿宋" w:hAnsi="仿宋" w:eastAsia="仿宋"/>
              </w:rPr>
              <w:t>.能够根据企业运营情况设定仓储成本控制标准、核算企业的仓储成本，通过物流系统的整体优化，实现仓储成本的降低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2</w:t>
            </w:r>
          </w:p>
        </w:tc>
        <w:tc>
          <w:tcPr>
            <w:tcW w:w="0" w:type="auto"/>
            <w:vAlign w:val="center"/>
          </w:tcPr>
          <w:p>
            <w:pPr>
              <w:pStyle w:val="37"/>
              <w:rPr>
                <w:rFonts w:hint="eastAsia" w:ascii="仿宋" w:hAnsi="仿宋" w:eastAsia="仿宋"/>
              </w:rPr>
            </w:pPr>
            <w:r>
              <w:rPr>
                <w:rFonts w:hint="eastAsia" w:ascii="仿宋" w:hAnsi="仿宋" w:eastAsia="仿宋"/>
              </w:rPr>
              <w:t>计划物流跟踪</w:t>
            </w:r>
          </w:p>
        </w:tc>
        <w:tc>
          <w:tcPr>
            <w:tcW w:w="7400" w:type="dxa"/>
          </w:tcPr>
          <w:p>
            <w:pPr>
              <w:pStyle w:val="37"/>
              <w:jc w:val="left"/>
              <w:rPr>
                <w:rFonts w:hint="eastAsia" w:ascii="仿宋" w:hAnsi="仿宋" w:eastAsia="仿宋"/>
              </w:rPr>
            </w:pPr>
            <w:r>
              <w:rPr>
                <w:rFonts w:hint="eastAsia" w:ascii="仿宋" w:hAnsi="仿宋" w:eastAsia="仿宋"/>
              </w:rPr>
              <w:t>1.能收集市场需求、库存情况、生产计划等关键数据，运用数据分析工具分析订单需求，制定采购计划</w:t>
            </w:r>
          </w:p>
          <w:p>
            <w:pPr>
              <w:pStyle w:val="37"/>
              <w:jc w:val="left"/>
              <w:rPr>
                <w:rFonts w:hint="eastAsia" w:ascii="仿宋" w:hAnsi="仿宋" w:eastAsia="仿宋"/>
              </w:rPr>
            </w:pPr>
            <w:r>
              <w:rPr>
                <w:rFonts w:hint="eastAsia" w:ascii="仿宋" w:hAnsi="仿宋" w:eastAsia="仿宋"/>
              </w:rPr>
              <w:t>2.能根据突发的客户需求，与供应商沟通，利用智能调度系统调整并实施采购计划，确保供应链的快速响应</w:t>
            </w:r>
          </w:p>
          <w:p>
            <w:pPr>
              <w:pStyle w:val="37"/>
              <w:jc w:val="left"/>
              <w:rPr>
                <w:rFonts w:hint="eastAsia" w:ascii="仿宋" w:hAnsi="仿宋" w:eastAsia="仿宋"/>
              </w:rPr>
            </w:pPr>
            <w:r>
              <w:rPr>
                <w:rFonts w:hint="eastAsia" w:ascii="仿宋" w:hAnsi="仿宋" w:eastAsia="仿宋"/>
              </w:rPr>
              <w:t>3.能运用GPS、GIS等物联网技术进行货物实时追踪与监控，开展运输资源分析及货物在途管理工作</w:t>
            </w:r>
          </w:p>
          <w:p>
            <w:pPr>
              <w:pStyle w:val="37"/>
              <w:jc w:val="left"/>
              <w:rPr>
                <w:rFonts w:hint="eastAsia" w:ascii="仿宋" w:hAnsi="仿宋" w:eastAsia="仿宋"/>
              </w:rPr>
            </w:pPr>
            <w:r>
              <w:rPr>
                <w:rFonts w:hint="eastAsia" w:ascii="仿宋" w:hAnsi="仿宋" w:eastAsia="仿宋"/>
              </w:rPr>
              <w:t>4.能进行采购工作评估，测算采购成本，并进行成本控制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3</w:t>
            </w:r>
          </w:p>
        </w:tc>
        <w:tc>
          <w:tcPr>
            <w:tcW w:w="0" w:type="auto"/>
            <w:vAlign w:val="center"/>
          </w:tcPr>
          <w:p>
            <w:pPr>
              <w:pStyle w:val="37"/>
              <w:rPr>
                <w:rFonts w:hint="eastAsia" w:ascii="仿宋" w:hAnsi="仿宋" w:eastAsia="仿宋"/>
              </w:rPr>
            </w:pPr>
            <w:r>
              <w:rPr>
                <w:rFonts w:hint="eastAsia" w:ascii="仿宋" w:hAnsi="仿宋" w:eastAsia="仿宋"/>
              </w:rPr>
              <w:t>物流信息系统应用及改善</w:t>
            </w:r>
          </w:p>
        </w:tc>
        <w:tc>
          <w:tcPr>
            <w:tcW w:w="7400" w:type="dxa"/>
          </w:tcPr>
          <w:p>
            <w:pPr>
              <w:pStyle w:val="37"/>
              <w:jc w:val="left"/>
              <w:rPr>
                <w:rFonts w:hint="eastAsia" w:ascii="仿宋" w:hAnsi="仿宋" w:eastAsia="仿宋"/>
              </w:rPr>
            </w:pPr>
            <w:r>
              <w:rPr>
                <w:rFonts w:hint="eastAsia" w:ascii="仿宋" w:hAnsi="仿宋" w:eastAsia="仿宋"/>
              </w:rPr>
              <w:t>1</w:t>
            </w:r>
            <w:r>
              <w:rPr>
                <w:rFonts w:ascii="仿宋" w:hAnsi="仿宋" w:eastAsia="仿宋"/>
              </w:rPr>
              <w:t>.</w:t>
            </w:r>
            <w:r>
              <w:rPr>
                <w:rFonts w:hint="eastAsia" w:ascii="仿宋" w:hAnsi="仿宋" w:eastAsia="仿宋"/>
              </w:rPr>
              <w:t>掌握ERP、SAP、SPS等企业管理信息系统的理论原理和技术</w:t>
            </w:r>
          </w:p>
          <w:p>
            <w:pPr>
              <w:pStyle w:val="37"/>
              <w:jc w:val="left"/>
              <w:rPr>
                <w:rFonts w:hint="eastAsia" w:ascii="仿宋" w:hAnsi="仿宋" w:eastAsia="仿宋"/>
              </w:rPr>
            </w:pPr>
            <w:r>
              <w:rPr>
                <w:rFonts w:hint="eastAsia" w:ascii="仿宋" w:hAnsi="仿宋" w:eastAsia="仿宋"/>
              </w:rPr>
              <w:t>2</w:t>
            </w:r>
            <w:r>
              <w:rPr>
                <w:rFonts w:ascii="仿宋" w:hAnsi="仿宋" w:eastAsia="仿宋"/>
              </w:rPr>
              <w:t>.</w:t>
            </w:r>
            <w:r>
              <w:rPr>
                <w:rFonts w:hint="eastAsia" w:ascii="仿宋" w:hAnsi="仿宋" w:eastAsia="仿宋"/>
              </w:rPr>
              <w:t>应用数据分析工具，通过移动端、设备采集数据、分析数据，建立数据决策体系，为物流运营提供决策</w:t>
            </w:r>
          </w:p>
          <w:p>
            <w:pPr>
              <w:pStyle w:val="37"/>
              <w:jc w:val="left"/>
              <w:rPr>
                <w:rFonts w:hint="eastAsia" w:ascii="仿宋" w:hAnsi="仿宋" w:eastAsia="仿宋"/>
              </w:rPr>
            </w:pPr>
            <w:r>
              <w:rPr>
                <w:rFonts w:hint="eastAsia" w:ascii="仿宋" w:hAnsi="仿宋" w:eastAsia="仿宋"/>
              </w:rPr>
              <w:t>3</w:t>
            </w:r>
            <w:r>
              <w:rPr>
                <w:rFonts w:ascii="仿宋" w:hAnsi="仿宋" w:eastAsia="仿宋"/>
              </w:rPr>
              <w:t>.</w:t>
            </w:r>
            <w:r>
              <w:rPr>
                <w:rFonts w:hint="eastAsia" w:ascii="仿宋" w:hAnsi="仿宋" w:eastAsia="仿宋"/>
              </w:rPr>
              <w:t>能识别信息系统在实际运行过程中出现的故障，运用系统日志分析、远程调试等技术手段分析原因，掌握信息系统出现故障时的处理方法</w:t>
            </w:r>
          </w:p>
          <w:p>
            <w:pPr>
              <w:pStyle w:val="37"/>
              <w:jc w:val="left"/>
              <w:rPr>
                <w:rFonts w:hint="eastAsia" w:ascii="仿宋" w:hAnsi="仿宋" w:eastAsia="仿宋"/>
              </w:rPr>
            </w:pPr>
            <w:r>
              <w:rPr>
                <w:rFonts w:ascii="仿宋" w:hAnsi="仿宋" w:eastAsia="仿宋"/>
              </w:rPr>
              <w:t>4</w:t>
            </w:r>
            <w:r>
              <w:rPr>
                <w:rFonts w:hint="eastAsia" w:ascii="仿宋" w:hAnsi="仿宋" w:eastAsia="仿宋"/>
              </w:rPr>
              <w:t>.能对相关人员开展系统操作、数据录入规范、故障处理等物流信息系统的应用培训</w:t>
            </w:r>
          </w:p>
          <w:p>
            <w:pPr>
              <w:pStyle w:val="37"/>
              <w:jc w:val="left"/>
              <w:rPr>
                <w:rFonts w:hint="eastAsia" w:ascii="仿宋" w:hAnsi="仿宋" w:eastAsia="仿宋"/>
              </w:rPr>
            </w:pPr>
            <w:r>
              <w:rPr>
                <w:rFonts w:hint="eastAsia" w:ascii="仿宋" w:hAnsi="仿宋" w:eastAsia="仿宋"/>
              </w:rPr>
              <w:t>5.应用低代码开发应用工具，为物流行业专属的数字应用开发管理，搭建专属流程模块。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4</w:t>
            </w:r>
          </w:p>
        </w:tc>
        <w:tc>
          <w:tcPr>
            <w:tcW w:w="0" w:type="auto"/>
            <w:vAlign w:val="center"/>
          </w:tcPr>
          <w:p>
            <w:pPr>
              <w:pStyle w:val="37"/>
              <w:rPr>
                <w:rFonts w:hint="eastAsia" w:ascii="仿宋" w:hAnsi="仿宋" w:eastAsia="仿宋"/>
              </w:rPr>
            </w:pPr>
            <w:r>
              <w:rPr>
                <w:rFonts w:hint="eastAsia" w:ascii="仿宋" w:hAnsi="仿宋" w:eastAsia="仿宋"/>
              </w:rPr>
              <w:t>料帐</w:t>
            </w:r>
          </w:p>
          <w:p>
            <w:pPr>
              <w:pStyle w:val="37"/>
              <w:rPr>
                <w:rFonts w:hint="eastAsia" w:ascii="仿宋" w:hAnsi="仿宋" w:eastAsia="仿宋"/>
              </w:rPr>
            </w:pPr>
            <w:r>
              <w:rPr>
                <w:rFonts w:hint="eastAsia" w:ascii="仿宋" w:hAnsi="仿宋" w:eastAsia="仿宋"/>
              </w:rPr>
              <w:t>管理</w:t>
            </w:r>
          </w:p>
        </w:tc>
        <w:tc>
          <w:tcPr>
            <w:tcW w:w="7400" w:type="dxa"/>
          </w:tcPr>
          <w:p>
            <w:pPr>
              <w:pStyle w:val="37"/>
              <w:jc w:val="left"/>
              <w:rPr>
                <w:rFonts w:hint="eastAsia" w:ascii="仿宋" w:hAnsi="仿宋" w:eastAsia="仿宋"/>
              </w:rPr>
            </w:pPr>
            <w:r>
              <w:rPr>
                <w:rFonts w:hint="eastAsia" w:ascii="仿宋" w:hAnsi="仿宋" w:eastAsia="仿宋"/>
              </w:rPr>
              <w:t>1.掌握账务管理的系统理论知识，具备较好的单据管理能力，数据统计、分析等账务处理能力</w:t>
            </w:r>
          </w:p>
          <w:p>
            <w:pPr>
              <w:pStyle w:val="37"/>
              <w:jc w:val="left"/>
              <w:rPr>
                <w:rFonts w:hint="eastAsia" w:ascii="仿宋" w:hAnsi="仿宋" w:eastAsia="仿宋"/>
              </w:rPr>
            </w:pPr>
            <w:r>
              <w:rPr>
                <w:rFonts w:hint="eastAsia" w:ascii="仿宋" w:hAnsi="仿宋" w:eastAsia="仿宋"/>
              </w:rPr>
              <w:t>2.掌握表格编制及相关文件归档管理的方法，具备较强的财务系统操作能力，会编制盘点表、料账报表等</w:t>
            </w:r>
          </w:p>
          <w:p>
            <w:pPr>
              <w:pStyle w:val="37"/>
              <w:jc w:val="left"/>
              <w:rPr>
                <w:rFonts w:hint="eastAsia" w:ascii="仿宋" w:hAnsi="仿宋" w:eastAsia="仿宋"/>
              </w:rPr>
            </w:pPr>
            <w:r>
              <w:rPr>
                <w:rFonts w:hint="eastAsia" w:ascii="仿宋" w:hAnsi="仿宋" w:eastAsia="仿宋"/>
              </w:rPr>
              <w:t>3.熟悉仓库物品，掌握盘点方法，能进行差异调整处理及原因分析</w:t>
            </w:r>
          </w:p>
          <w:p>
            <w:pPr>
              <w:pStyle w:val="37"/>
              <w:jc w:val="left"/>
              <w:rPr>
                <w:rFonts w:hint="eastAsia" w:ascii="仿宋" w:hAnsi="仿宋" w:eastAsia="仿宋"/>
              </w:rPr>
            </w:pPr>
            <w:r>
              <w:rPr>
                <w:rFonts w:hint="eastAsia" w:ascii="仿宋" w:hAnsi="仿宋" w:eastAsia="仿宋"/>
              </w:rPr>
              <w:t>4.具备预算及成本信息的收集及分析判断能力，能提供预算基础数据、成本分析数据，并根据成本核算制度和会计科目，对物流系统各项业务进行成本核算</w:t>
            </w:r>
          </w:p>
          <w:p>
            <w:pPr>
              <w:pStyle w:val="37"/>
              <w:jc w:val="left"/>
              <w:rPr>
                <w:rFonts w:hint="eastAsia" w:ascii="仿宋" w:hAnsi="仿宋" w:eastAsia="仿宋"/>
              </w:rPr>
            </w:pPr>
            <w:r>
              <w:rPr>
                <w:rFonts w:hint="eastAsia" w:ascii="仿宋" w:hAnsi="仿宋" w:eastAsia="仿宋"/>
              </w:rPr>
              <w:t>5.能够根据企业实际情况制定年度/月度预算及成本分析方案设计，进行物流作业成本控制及优化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5</w:t>
            </w:r>
          </w:p>
        </w:tc>
        <w:tc>
          <w:tcPr>
            <w:tcW w:w="0" w:type="auto"/>
            <w:vAlign w:val="center"/>
          </w:tcPr>
          <w:p>
            <w:pPr>
              <w:pStyle w:val="37"/>
              <w:rPr>
                <w:rFonts w:hint="eastAsia" w:ascii="仿宋" w:hAnsi="仿宋" w:eastAsia="仿宋"/>
              </w:rPr>
            </w:pPr>
            <w:r>
              <w:rPr>
                <w:rFonts w:hint="eastAsia" w:ascii="仿宋" w:hAnsi="仿宋" w:eastAsia="仿宋"/>
              </w:rPr>
              <w:t>供应链</w:t>
            </w:r>
          </w:p>
          <w:p>
            <w:pPr>
              <w:pStyle w:val="37"/>
              <w:rPr>
                <w:rFonts w:hint="eastAsia" w:ascii="仿宋" w:hAnsi="仿宋" w:eastAsia="仿宋"/>
              </w:rPr>
            </w:pPr>
            <w:r>
              <w:rPr>
                <w:rFonts w:hint="eastAsia" w:ascii="仿宋" w:hAnsi="仿宋" w:eastAsia="仿宋"/>
              </w:rPr>
              <w:t>管理</w:t>
            </w:r>
          </w:p>
        </w:tc>
        <w:tc>
          <w:tcPr>
            <w:tcW w:w="7400" w:type="dxa"/>
          </w:tcPr>
          <w:p>
            <w:pPr>
              <w:pStyle w:val="37"/>
              <w:jc w:val="left"/>
              <w:rPr>
                <w:rFonts w:hint="eastAsia" w:ascii="仿宋" w:hAnsi="仿宋" w:eastAsia="仿宋"/>
              </w:rPr>
            </w:pPr>
            <w:r>
              <w:rPr>
                <w:rFonts w:hint="eastAsia" w:ascii="仿宋" w:hAnsi="仿宋" w:eastAsia="仿宋"/>
              </w:rPr>
              <w:t>1.应用定性定量分析工具，对供应链的需求展开预测</w:t>
            </w:r>
          </w:p>
          <w:p>
            <w:pPr>
              <w:pStyle w:val="37"/>
              <w:jc w:val="left"/>
              <w:rPr>
                <w:rFonts w:hint="eastAsia" w:ascii="仿宋" w:hAnsi="仿宋" w:eastAsia="仿宋"/>
              </w:rPr>
            </w:pPr>
            <w:r>
              <w:rPr>
                <w:rFonts w:hint="eastAsia" w:ascii="仿宋" w:hAnsi="仿宋" w:eastAsia="仿宋"/>
              </w:rPr>
              <w:t>2. 编制供应链计划，实施供应链环境下的生产组织</w:t>
            </w:r>
          </w:p>
          <w:p>
            <w:pPr>
              <w:pStyle w:val="37"/>
              <w:jc w:val="left"/>
              <w:rPr>
                <w:rFonts w:hint="eastAsia" w:ascii="仿宋" w:hAnsi="仿宋" w:eastAsia="仿宋"/>
              </w:rPr>
            </w:pPr>
            <w:r>
              <w:rPr>
                <w:rFonts w:hint="eastAsia" w:ascii="仿宋" w:hAnsi="仿宋" w:eastAsia="仿宋"/>
              </w:rPr>
              <w:t>3. 开展客户关系管理和商品的选品分仓等运营</w:t>
            </w:r>
          </w:p>
          <w:p>
            <w:pPr>
              <w:pStyle w:val="37"/>
              <w:jc w:val="left"/>
              <w:rPr>
                <w:rFonts w:hint="eastAsia" w:ascii="仿宋" w:hAnsi="仿宋" w:eastAsia="仿宋"/>
              </w:rPr>
            </w:pPr>
            <w:r>
              <w:rPr>
                <w:rFonts w:hint="eastAsia" w:ascii="仿宋" w:hAnsi="仿宋" w:eastAsia="仿宋"/>
              </w:rPr>
              <w:t>4.设计合适的供应链金融服务方案</w:t>
            </w:r>
          </w:p>
          <w:p>
            <w:pPr>
              <w:pStyle w:val="37"/>
              <w:jc w:val="left"/>
              <w:rPr>
                <w:rFonts w:hint="eastAsia" w:ascii="仿宋" w:hAnsi="仿宋" w:eastAsia="仿宋"/>
              </w:rPr>
            </w:pPr>
            <w:r>
              <w:rPr>
                <w:rFonts w:hint="eastAsia" w:ascii="仿宋" w:hAnsi="仿宋" w:eastAsia="仿宋"/>
              </w:rPr>
              <w:t>5.应用数据分析工具，运用科学指标体系对供应链绩效进行评价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5</w:t>
            </w:r>
          </w:p>
        </w:tc>
        <w:tc>
          <w:tcPr>
            <w:tcW w:w="0" w:type="auto"/>
            <w:vAlign w:val="center"/>
          </w:tcPr>
          <w:p>
            <w:pPr>
              <w:pStyle w:val="37"/>
              <w:rPr>
                <w:rFonts w:hint="eastAsia" w:ascii="仿宋" w:hAnsi="仿宋" w:eastAsia="仿宋"/>
              </w:rPr>
            </w:pPr>
            <w:r>
              <w:rPr>
                <w:rFonts w:hint="eastAsia" w:ascii="仿宋" w:hAnsi="仿宋" w:eastAsia="仿宋"/>
              </w:rPr>
              <w:t>物流工程规划及改善</w:t>
            </w:r>
          </w:p>
        </w:tc>
        <w:tc>
          <w:tcPr>
            <w:tcW w:w="7400" w:type="dxa"/>
          </w:tcPr>
          <w:p>
            <w:pPr>
              <w:pStyle w:val="37"/>
              <w:jc w:val="left"/>
              <w:rPr>
                <w:rFonts w:hint="eastAsia" w:ascii="仿宋" w:hAnsi="仿宋" w:eastAsia="仿宋"/>
              </w:rPr>
            </w:pPr>
            <w:r>
              <w:rPr>
                <w:rFonts w:ascii="仿宋" w:hAnsi="仿宋" w:eastAsia="仿宋"/>
              </w:rPr>
              <w:t>1</w:t>
            </w:r>
            <w:r>
              <w:rPr>
                <w:rFonts w:hint="eastAsia" w:ascii="仿宋" w:hAnsi="仿宋" w:eastAsia="仿宋"/>
              </w:rPr>
              <w:t>.掌握厂内物流规划的系统理论，具备厂内物流线路时间测算、评估及物流规划设计能力</w:t>
            </w:r>
          </w:p>
          <w:p>
            <w:pPr>
              <w:pStyle w:val="37"/>
              <w:jc w:val="left"/>
              <w:rPr>
                <w:rFonts w:hint="eastAsia" w:ascii="仿宋" w:hAnsi="仿宋" w:eastAsia="仿宋"/>
              </w:rPr>
            </w:pPr>
            <w:r>
              <w:rPr>
                <w:rFonts w:ascii="仿宋" w:hAnsi="仿宋" w:eastAsia="仿宋"/>
              </w:rPr>
              <w:t>2.</w:t>
            </w:r>
            <w:r>
              <w:rPr>
                <w:rFonts w:hint="eastAsia" w:ascii="仿宋" w:hAnsi="仿宋" w:eastAsia="仿宋"/>
              </w:rPr>
              <w:t>掌握物流作业现场规划及改善的系统理论，能够科学运用作业现场改善的管理工具与方法，组织实施物流作业现场改善，并对改善成果进行评价</w:t>
            </w:r>
          </w:p>
          <w:p>
            <w:pPr>
              <w:pStyle w:val="37"/>
              <w:jc w:val="left"/>
              <w:rPr>
                <w:rFonts w:hint="eastAsia" w:ascii="仿宋" w:hAnsi="仿宋" w:eastAsia="仿宋"/>
              </w:rPr>
            </w:pPr>
            <w:r>
              <w:rPr>
                <w:rFonts w:ascii="仿宋" w:hAnsi="仿宋" w:eastAsia="仿宋"/>
              </w:rPr>
              <w:t>3</w:t>
            </w:r>
            <w:r>
              <w:rPr>
                <w:rFonts w:hint="eastAsia" w:ascii="仿宋" w:hAnsi="仿宋" w:eastAsia="仿宋"/>
              </w:rPr>
              <w:t>.熟悉行业管理规范，掌握物流包装规划及设计的系统理论，能够根据物流作业的需要，利用软件进行物流包装的规划，设计并改善物料包装器具</w:t>
            </w:r>
          </w:p>
          <w:p>
            <w:pPr>
              <w:pStyle w:val="37"/>
              <w:jc w:val="left"/>
              <w:rPr>
                <w:rFonts w:hint="eastAsia" w:ascii="仿宋" w:hAnsi="仿宋" w:eastAsia="仿宋"/>
              </w:rPr>
            </w:pPr>
            <w:r>
              <w:rPr>
                <w:rFonts w:hint="eastAsia" w:ascii="仿宋" w:hAnsi="仿宋" w:eastAsia="仿宋"/>
              </w:rPr>
              <w:t>4</w:t>
            </w:r>
            <w:r>
              <w:rPr>
                <w:rFonts w:ascii="仿宋" w:hAnsi="仿宋" w:eastAsia="仿宋"/>
              </w:rPr>
              <w:t>.</w:t>
            </w:r>
            <w:r>
              <w:rPr>
                <w:rFonts w:hint="eastAsia" w:ascii="仿宋" w:hAnsi="仿宋" w:eastAsia="仿宋"/>
              </w:rPr>
              <w:t>熟悉库存管理的理论及方法，能够运用库存管理的工具与方法进行库存管理与控制，降低库存成本</w:t>
            </w:r>
          </w:p>
          <w:p>
            <w:pPr>
              <w:pStyle w:val="37"/>
              <w:jc w:val="left"/>
              <w:rPr>
                <w:rFonts w:hint="eastAsia" w:ascii="仿宋" w:hAnsi="仿宋" w:eastAsia="仿宋"/>
              </w:rPr>
            </w:pPr>
            <w:r>
              <w:rPr>
                <w:rFonts w:ascii="仿宋" w:hAnsi="仿宋" w:eastAsia="仿宋"/>
              </w:rPr>
              <w:t>5</w:t>
            </w:r>
            <w:r>
              <w:rPr>
                <w:rFonts w:hint="eastAsia" w:ascii="仿宋" w:hAnsi="仿宋" w:eastAsia="仿宋"/>
              </w:rPr>
              <w:t>.熟悉物流作业工作内容与要求，能有针对性地收集与分析相关数据，进行物流作业成本分析及控制</w:t>
            </w:r>
          </w:p>
          <w:p>
            <w:pPr>
              <w:pStyle w:val="37"/>
              <w:jc w:val="left"/>
              <w:rPr>
                <w:rFonts w:hint="eastAsia" w:ascii="仿宋" w:hAnsi="仿宋" w:eastAsia="仿宋"/>
              </w:rPr>
            </w:pPr>
            <w:r>
              <w:rPr>
                <w:rFonts w:ascii="仿宋" w:hAnsi="仿宋" w:eastAsia="仿宋"/>
              </w:rPr>
              <w:t>6</w:t>
            </w:r>
            <w:r>
              <w:rPr>
                <w:rFonts w:hint="eastAsia" w:ascii="仿宋" w:hAnsi="仿宋" w:eastAsia="仿宋"/>
              </w:rPr>
              <w:t>.能运用相关管理工具进行物流标准化设计并推进物流标准化的实施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6</w:t>
            </w:r>
          </w:p>
        </w:tc>
        <w:tc>
          <w:tcPr>
            <w:tcW w:w="0" w:type="auto"/>
            <w:vAlign w:val="center"/>
          </w:tcPr>
          <w:p>
            <w:pPr>
              <w:pStyle w:val="37"/>
              <w:rPr>
                <w:rFonts w:hint="eastAsia" w:ascii="仿宋" w:hAnsi="仿宋" w:eastAsia="仿宋"/>
              </w:rPr>
            </w:pPr>
            <w:r>
              <w:rPr>
                <w:rFonts w:hint="eastAsia" w:ascii="仿宋" w:hAnsi="仿宋" w:eastAsia="仿宋"/>
              </w:rPr>
              <w:t>厂外物流规划</w:t>
            </w:r>
          </w:p>
        </w:tc>
        <w:tc>
          <w:tcPr>
            <w:tcW w:w="7400" w:type="dxa"/>
          </w:tcPr>
          <w:p>
            <w:pPr>
              <w:pStyle w:val="37"/>
              <w:jc w:val="left"/>
              <w:rPr>
                <w:rFonts w:hint="eastAsia" w:ascii="仿宋" w:hAnsi="仿宋" w:eastAsia="仿宋"/>
              </w:rPr>
            </w:pPr>
            <w:r>
              <w:rPr>
                <w:rFonts w:hint="eastAsia" w:ascii="仿宋" w:hAnsi="仿宋" w:eastAsia="仿宋"/>
              </w:rPr>
              <w:t>1.掌握厂外物流规划的系统理论，具备厂外物流运输车辆调度管理、物流运输路线分析、评价及物流规划设计能力</w:t>
            </w:r>
          </w:p>
          <w:p>
            <w:pPr>
              <w:pStyle w:val="37"/>
              <w:jc w:val="left"/>
              <w:rPr>
                <w:rFonts w:hint="eastAsia" w:ascii="仿宋" w:hAnsi="仿宋" w:eastAsia="仿宋"/>
              </w:rPr>
            </w:pPr>
            <w:r>
              <w:rPr>
                <w:rFonts w:hint="eastAsia" w:ascii="仿宋" w:hAnsi="仿宋" w:eastAsia="仿宋"/>
              </w:rPr>
              <w:t>2.熟悉厂外物流运输管理的理论及方法，能综合分析、评估物流运输状况，进行运输线路的改善及优化</w:t>
            </w:r>
          </w:p>
          <w:p>
            <w:pPr>
              <w:pStyle w:val="37"/>
              <w:jc w:val="left"/>
              <w:rPr>
                <w:rFonts w:hint="eastAsia" w:ascii="仿宋" w:hAnsi="仿宋" w:eastAsia="仿宋"/>
              </w:rPr>
            </w:pPr>
            <w:r>
              <w:rPr>
                <w:rFonts w:hint="eastAsia" w:ascii="仿宋" w:hAnsi="仿宋" w:eastAsia="仿宋"/>
              </w:rPr>
              <w:t>3.掌握物流运输成本管理的系统理论知识，能够运用运输成本控制标准及物流运输服务的评价指标，进行运输成本管理与控制，在保证一定物流服务水平的前提下降低厂外物流运输成本</w:t>
            </w:r>
          </w:p>
          <w:p>
            <w:pPr>
              <w:pStyle w:val="37"/>
              <w:jc w:val="left"/>
              <w:rPr>
                <w:rFonts w:hint="eastAsia" w:ascii="仿宋" w:hAnsi="仿宋" w:eastAsia="仿宋"/>
              </w:rPr>
            </w:pPr>
            <w:r>
              <w:rPr>
                <w:rFonts w:ascii="仿宋" w:hAnsi="仿宋" w:eastAsia="仿宋"/>
              </w:rPr>
              <w:t>4.</w:t>
            </w:r>
            <w:r>
              <w:rPr>
                <w:rFonts w:hint="eastAsia" w:ascii="仿宋" w:hAnsi="仿宋" w:eastAsia="仿宋"/>
              </w:rPr>
              <w:t>熟悉厂外物流运输作业内容与要求，能运用现代数据采集技术收集物流运输相关数据，分析、评价及预测物流运输需求，进行物流运输规划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jc w:val="center"/>
        </w:trPr>
        <w:tc>
          <w:tcPr>
            <w:tcW w:w="0" w:type="auto"/>
            <w:vAlign w:val="center"/>
          </w:tcPr>
          <w:p>
            <w:pPr>
              <w:pStyle w:val="37"/>
              <w:rPr>
                <w:rFonts w:hint="eastAsia" w:ascii="仿宋" w:hAnsi="仿宋" w:eastAsia="仿宋"/>
              </w:rPr>
            </w:pPr>
            <w:r>
              <w:rPr>
                <w:rFonts w:hint="eastAsia" w:ascii="仿宋" w:hAnsi="仿宋" w:eastAsia="仿宋"/>
              </w:rPr>
              <w:t>7</w:t>
            </w:r>
          </w:p>
        </w:tc>
        <w:tc>
          <w:tcPr>
            <w:tcW w:w="0" w:type="auto"/>
            <w:vAlign w:val="center"/>
          </w:tcPr>
          <w:p>
            <w:pPr>
              <w:pStyle w:val="37"/>
              <w:rPr>
                <w:rFonts w:hint="eastAsia" w:ascii="仿宋" w:hAnsi="仿宋" w:eastAsia="仿宋"/>
              </w:rPr>
            </w:pPr>
            <w:r>
              <w:rPr>
                <w:rFonts w:hint="eastAsia" w:ascii="仿宋" w:hAnsi="仿宋" w:eastAsia="仿宋"/>
              </w:rPr>
              <w:t>物流现场管理保  障</w:t>
            </w:r>
          </w:p>
        </w:tc>
        <w:tc>
          <w:tcPr>
            <w:tcW w:w="7400" w:type="dxa"/>
          </w:tcPr>
          <w:p>
            <w:pPr>
              <w:pStyle w:val="37"/>
              <w:jc w:val="left"/>
              <w:rPr>
                <w:rFonts w:hint="eastAsia" w:ascii="仿宋" w:hAnsi="仿宋" w:eastAsia="仿宋"/>
              </w:rPr>
            </w:pPr>
            <w:r>
              <w:rPr>
                <w:rFonts w:hint="eastAsia" w:ascii="仿宋" w:hAnsi="仿宋" w:eastAsia="仿宋"/>
              </w:rPr>
              <w:t>1.6S现场管理的推行与管理，结合智能监控系统等进行现场环境监控与改善</w:t>
            </w:r>
            <w:r>
              <w:rPr>
                <w:rFonts w:ascii="仿宋" w:hAnsi="仿宋" w:eastAsia="仿宋"/>
              </w:rPr>
              <w:t xml:space="preserve"> </w:t>
            </w:r>
          </w:p>
          <w:p>
            <w:pPr>
              <w:pStyle w:val="37"/>
              <w:jc w:val="left"/>
              <w:rPr>
                <w:rFonts w:hint="eastAsia" w:ascii="仿宋" w:hAnsi="仿宋" w:eastAsia="仿宋"/>
              </w:rPr>
            </w:pPr>
            <w:r>
              <w:rPr>
                <w:rFonts w:hint="eastAsia" w:ascii="仿宋" w:hAnsi="仿宋" w:eastAsia="仿宋"/>
              </w:rPr>
              <w:t>2.现场安全管理，利用VR技术进行安全培训与演练，提高员工安全意识。</w:t>
            </w:r>
          </w:p>
          <w:p>
            <w:pPr>
              <w:pStyle w:val="37"/>
              <w:jc w:val="left"/>
              <w:rPr>
                <w:rFonts w:hint="eastAsia" w:ascii="仿宋" w:hAnsi="仿宋" w:eastAsia="仿宋"/>
              </w:rPr>
            </w:pPr>
            <w:r>
              <w:rPr>
                <w:rFonts w:hint="eastAsia" w:ascii="仿宋" w:hAnsi="仿宋" w:eastAsia="仿宋"/>
              </w:rPr>
              <w:t>3.问题发现和整改能力，运用PDCA循环进行持续改进，结合智能报警系统快速响应现场问题</w:t>
            </w:r>
          </w:p>
          <w:p>
            <w:pPr>
              <w:pStyle w:val="37"/>
              <w:jc w:val="left"/>
              <w:rPr>
                <w:rFonts w:hint="eastAsia" w:ascii="仿宋" w:hAnsi="仿宋" w:eastAsia="仿宋"/>
              </w:rPr>
            </w:pPr>
            <w:r>
              <w:rPr>
                <w:rFonts w:hint="eastAsia" w:ascii="仿宋" w:hAnsi="仿宋" w:eastAsia="仿宋"/>
              </w:rPr>
              <w:t>4.关注物流技术前沿持续学习，合理高效和用工具的能力</w:t>
            </w:r>
          </w:p>
        </w:tc>
      </w:tr>
    </w:tbl>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ADFCAB8-6FDA-4A73-862E-418A3994EF6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DA7106D9-5EC1-4505-9308-5D38AB71A401}"/>
  </w:font>
  <w:font w:name="汉仪粗仿宋简">
    <w:panose1 w:val="02010600000101010101"/>
    <w:charset w:val="86"/>
    <w:family w:val="auto"/>
    <w:pitch w:val="default"/>
    <w:sig w:usb0="00000001" w:usb1="080E0800" w:usb2="00000002" w:usb3="00000000" w:csb0="00040000" w:csb1="00000000"/>
  </w:font>
  <w:font w:name="FZSSK--GBK1-0">
    <w:altName w:val="Times New Roman"/>
    <w:panose1 w:val="00000000000000000000"/>
    <w:charset w:val="00"/>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3" w:fontKey="{B1CA83B5-F859-41DE-A9C1-DDFAE19A7BAB}"/>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embedRegular r:id="rId4" w:fontKey="{BC18BDF0-E53E-4301-BF0E-1D3BB1DAA8CC}"/>
  </w:font>
  <w:font w:name="方正小标宋简体">
    <w:panose1 w:val="03000509000000000000"/>
    <w:charset w:val="86"/>
    <w:family w:val="script"/>
    <w:pitch w:val="default"/>
    <w:sig w:usb0="00000001" w:usb1="080E0000" w:usb2="00000000" w:usb3="00000000" w:csb0="00040000" w:csb1="00000000"/>
    <w:embedRegular r:id="rId5" w:fontKey="{CC11E26E-19D3-424D-B307-AA0F5AB363F4}"/>
  </w:font>
  <w:font w:name="华文宋体">
    <w:panose1 w:val="02010600040101010101"/>
    <w:charset w:val="86"/>
    <w:family w:val="auto"/>
    <w:pitch w:val="default"/>
    <w:sig w:usb0="00000287" w:usb1="080F0000" w:usb2="00000000" w:usb3="00000000" w:csb0="0004009F" w:csb1="DFD70000"/>
    <w:embedRegular r:id="rId6" w:fontKey="{E14C2870-A50B-4FD4-932A-336E537E60B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19</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9"/>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4D803138"/>
    <w:rsid w:val="00001D40"/>
    <w:rsid w:val="00002CA0"/>
    <w:rsid w:val="000100AC"/>
    <w:rsid w:val="00010BE3"/>
    <w:rsid w:val="00036678"/>
    <w:rsid w:val="00042E47"/>
    <w:rsid w:val="0004551C"/>
    <w:rsid w:val="00053C71"/>
    <w:rsid w:val="000579BA"/>
    <w:rsid w:val="0006060B"/>
    <w:rsid w:val="00063A41"/>
    <w:rsid w:val="000A3321"/>
    <w:rsid w:val="000A366E"/>
    <w:rsid w:val="000B3A28"/>
    <w:rsid w:val="000B7E17"/>
    <w:rsid w:val="000C026C"/>
    <w:rsid w:val="000C3568"/>
    <w:rsid w:val="000D0280"/>
    <w:rsid w:val="000D0C9B"/>
    <w:rsid w:val="000D5C55"/>
    <w:rsid w:val="000E7042"/>
    <w:rsid w:val="000F5909"/>
    <w:rsid w:val="00101AE9"/>
    <w:rsid w:val="00101CF8"/>
    <w:rsid w:val="0010217D"/>
    <w:rsid w:val="001046E4"/>
    <w:rsid w:val="00104857"/>
    <w:rsid w:val="00106421"/>
    <w:rsid w:val="00122F39"/>
    <w:rsid w:val="00132A1A"/>
    <w:rsid w:val="00133D1B"/>
    <w:rsid w:val="00135135"/>
    <w:rsid w:val="00135875"/>
    <w:rsid w:val="001412F2"/>
    <w:rsid w:val="00151B8B"/>
    <w:rsid w:val="00157A3E"/>
    <w:rsid w:val="00162AF6"/>
    <w:rsid w:val="00170DCA"/>
    <w:rsid w:val="00170F78"/>
    <w:rsid w:val="00172E8C"/>
    <w:rsid w:val="00176770"/>
    <w:rsid w:val="0018274C"/>
    <w:rsid w:val="00185A4F"/>
    <w:rsid w:val="00196428"/>
    <w:rsid w:val="00197369"/>
    <w:rsid w:val="001A1FAB"/>
    <w:rsid w:val="001A576F"/>
    <w:rsid w:val="001A5CF3"/>
    <w:rsid w:val="001B0140"/>
    <w:rsid w:val="001B48AF"/>
    <w:rsid w:val="001D4DE6"/>
    <w:rsid w:val="001E3CED"/>
    <w:rsid w:val="001E50E0"/>
    <w:rsid w:val="001F13C1"/>
    <w:rsid w:val="001F2754"/>
    <w:rsid w:val="002211B8"/>
    <w:rsid w:val="00225828"/>
    <w:rsid w:val="00225829"/>
    <w:rsid w:val="00234F37"/>
    <w:rsid w:val="00240B42"/>
    <w:rsid w:val="002546C1"/>
    <w:rsid w:val="002759D7"/>
    <w:rsid w:val="00276387"/>
    <w:rsid w:val="00277067"/>
    <w:rsid w:val="00280913"/>
    <w:rsid w:val="00282E9F"/>
    <w:rsid w:val="002961C3"/>
    <w:rsid w:val="002A572D"/>
    <w:rsid w:val="002A66EA"/>
    <w:rsid w:val="002B532C"/>
    <w:rsid w:val="002C3366"/>
    <w:rsid w:val="002C4449"/>
    <w:rsid w:val="002C6283"/>
    <w:rsid w:val="002C6C02"/>
    <w:rsid w:val="002D41BF"/>
    <w:rsid w:val="002D45B0"/>
    <w:rsid w:val="002E01C1"/>
    <w:rsid w:val="002E7F46"/>
    <w:rsid w:val="002F2359"/>
    <w:rsid w:val="00311B63"/>
    <w:rsid w:val="003217F7"/>
    <w:rsid w:val="00331263"/>
    <w:rsid w:val="00333A2A"/>
    <w:rsid w:val="003450FB"/>
    <w:rsid w:val="0034662D"/>
    <w:rsid w:val="00347BB1"/>
    <w:rsid w:val="0035319C"/>
    <w:rsid w:val="0035561C"/>
    <w:rsid w:val="00356317"/>
    <w:rsid w:val="0036256A"/>
    <w:rsid w:val="00371B2E"/>
    <w:rsid w:val="00374C85"/>
    <w:rsid w:val="0038576D"/>
    <w:rsid w:val="0039553A"/>
    <w:rsid w:val="00396312"/>
    <w:rsid w:val="003A3D0E"/>
    <w:rsid w:val="003B36D4"/>
    <w:rsid w:val="003C668C"/>
    <w:rsid w:val="003C6A75"/>
    <w:rsid w:val="003D735B"/>
    <w:rsid w:val="003F1084"/>
    <w:rsid w:val="003F3528"/>
    <w:rsid w:val="003F51DC"/>
    <w:rsid w:val="0041577B"/>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E2450"/>
    <w:rsid w:val="004E3905"/>
    <w:rsid w:val="004F42C2"/>
    <w:rsid w:val="004F7091"/>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1429"/>
    <w:rsid w:val="005E4A24"/>
    <w:rsid w:val="005F29AE"/>
    <w:rsid w:val="00615AA6"/>
    <w:rsid w:val="00623027"/>
    <w:rsid w:val="00626E37"/>
    <w:rsid w:val="006379DB"/>
    <w:rsid w:val="006424E0"/>
    <w:rsid w:val="0064449B"/>
    <w:rsid w:val="00644FF9"/>
    <w:rsid w:val="00653913"/>
    <w:rsid w:val="006564CD"/>
    <w:rsid w:val="006567DB"/>
    <w:rsid w:val="00670F0E"/>
    <w:rsid w:val="00671208"/>
    <w:rsid w:val="00675486"/>
    <w:rsid w:val="006758ED"/>
    <w:rsid w:val="0067611B"/>
    <w:rsid w:val="0067645F"/>
    <w:rsid w:val="00680735"/>
    <w:rsid w:val="0068167F"/>
    <w:rsid w:val="0068761D"/>
    <w:rsid w:val="006A226F"/>
    <w:rsid w:val="006A2D30"/>
    <w:rsid w:val="006A4E03"/>
    <w:rsid w:val="006A4EB6"/>
    <w:rsid w:val="006C0EF9"/>
    <w:rsid w:val="006C1A6C"/>
    <w:rsid w:val="006C2210"/>
    <w:rsid w:val="006C53C1"/>
    <w:rsid w:val="006D2F49"/>
    <w:rsid w:val="006D4398"/>
    <w:rsid w:val="006F2AB4"/>
    <w:rsid w:val="006F2EB1"/>
    <w:rsid w:val="00701F27"/>
    <w:rsid w:val="0070644B"/>
    <w:rsid w:val="0071389C"/>
    <w:rsid w:val="00713ED7"/>
    <w:rsid w:val="00716A1F"/>
    <w:rsid w:val="00733444"/>
    <w:rsid w:val="0073727D"/>
    <w:rsid w:val="00741DAE"/>
    <w:rsid w:val="00741F63"/>
    <w:rsid w:val="00743E9E"/>
    <w:rsid w:val="007450E3"/>
    <w:rsid w:val="00745986"/>
    <w:rsid w:val="00750DA7"/>
    <w:rsid w:val="007714E4"/>
    <w:rsid w:val="00780BDD"/>
    <w:rsid w:val="0078457A"/>
    <w:rsid w:val="00785A35"/>
    <w:rsid w:val="007947E3"/>
    <w:rsid w:val="00795BDF"/>
    <w:rsid w:val="007A1713"/>
    <w:rsid w:val="007A173A"/>
    <w:rsid w:val="007A1F80"/>
    <w:rsid w:val="007B5420"/>
    <w:rsid w:val="007B568B"/>
    <w:rsid w:val="007C14D4"/>
    <w:rsid w:val="007C3FE0"/>
    <w:rsid w:val="007D1782"/>
    <w:rsid w:val="007D1EFF"/>
    <w:rsid w:val="007D2437"/>
    <w:rsid w:val="007E4CEF"/>
    <w:rsid w:val="007E730E"/>
    <w:rsid w:val="007F1427"/>
    <w:rsid w:val="007F2D04"/>
    <w:rsid w:val="007F3CB7"/>
    <w:rsid w:val="007F78FF"/>
    <w:rsid w:val="00801AAE"/>
    <w:rsid w:val="0080636C"/>
    <w:rsid w:val="00807A56"/>
    <w:rsid w:val="00810822"/>
    <w:rsid w:val="008113B3"/>
    <w:rsid w:val="00811951"/>
    <w:rsid w:val="00816543"/>
    <w:rsid w:val="00820376"/>
    <w:rsid w:val="00820FA0"/>
    <w:rsid w:val="00822779"/>
    <w:rsid w:val="008255EB"/>
    <w:rsid w:val="00827E17"/>
    <w:rsid w:val="00833C09"/>
    <w:rsid w:val="0085432A"/>
    <w:rsid w:val="00855010"/>
    <w:rsid w:val="008630A9"/>
    <w:rsid w:val="00863B59"/>
    <w:rsid w:val="0087249C"/>
    <w:rsid w:val="00875BC5"/>
    <w:rsid w:val="00875E60"/>
    <w:rsid w:val="0087625D"/>
    <w:rsid w:val="00876707"/>
    <w:rsid w:val="00880537"/>
    <w:rsid w:val="00881905"/>
    <w:rsid w:val="00893E62"/>
    <w:rsid w:val="00894F75"/>
    <w:rsid w:val="0089569F"/>
    <w:rsid w:val="00895B8B"/>
    <w:rsid w:val="008A5614"/>
    <w:rsid w:val="008B1F68"/>
    <w:rsid w:val="008B287E"/>
    <w:rsid w:val="008C49CC"/>
    <w:rsid w:val="008D1F35"/>
    <w:rsid w:val="008F03D7"/>
    <w:rsid w:val="008F187E"/>
    <w:rsid w:val="008F337E"/>
    <w:rsid w:val="008F6A88"/>
    <w:rsid w:val="009100FC"/>
    <w:rsid w:val="009164BD"/>
    <w:rsid w:val="00933B5B"/>
    <w:rsid w:val="0093599F"/>
    <w:rsid w:val="009416B8"/>
    <w:rsid w:val="009554B2"/>
    <w:rsid w:val="00957A71"/>
    <w:rsid w:val="00960C22"/>
    <w:rsid w:val="009643F6"/>
    <w:rsid w:val="0096469C"/>
    <w:rsid w:val="009664D5"/>
    <w:rsid w:val="00975D98"/>
    <w:rsid w:val="00980978"/>
    <w:rsid w:val="00983F5E"/>
    <w:rsid w:val="0098522D"/>
    <w:rsid w:val="009852DE"/>
    <w:rsid w:val="0098747C"/>
    <w:rsid w:val="00997337"/>
    <w:rsid w:val="00997D72"/>
    <w:rsid w:val="009B0E5E"/>
    <w:rsid w:val="009B3C95"/>
    <w:rsid w:val="009B584F"/>
    <w:rsid w:val="009C07DB"/>
    <w:rsid w:val="009C29ED"/>
    <w:rsid w:val="009C49F0"/>
    <w:rsid w:val="009C697C"/>
    <w:rsid w:val="009C6FEE"/>
    <w:rsid w:val="009E6B90"/>
    <w:rsid w:val="009F0347"/>
    <w:rsid w:val="009F05C5"/>
    <w:rsid w:val="009F7C33"/>
    <w:rsid w:val="00A0294A"/>
    <w:rsid w:val="00A07D53"/>
    <w:rsid w:val="00A10173"/>
    <w:rsid w:val="00A106DC"/>
    <w:rsid w:val="00A11133"/>
    <w:rsid w:val="00A177E5"/>
    <w:rsid w:val="00A2117A"/>
    <w:rsid w:val="00A21A1F"/>
    <w:rsid w:val="00A30AD5"/>
    <w:rsid w:val="00A33428"/>
    <w:rsid w:val="00A33768"/>
    <w:rsid w:val="00A451A5"/>
    <w:rsid w:val="00A46B30"/>
    <w:rsid w:val="00A61B6E"/>
    <w:rsid w:val="00A62F84"/>
    <w:rsid w:val="00A73C39"/>
    <w:rsid w:val="00A771E5"/>
    <w:rsid w:val="00A778C7"/>
    <w:rsid w:val="00A8016F"/>
    <w:rsid w:val="00A83AD3"/>
    <w:rsid w:val="00A869BA"/>
    <w:rsid w:val="00A96719"/>
    <w:rsid w:val="00AA3EA7"/>
    <w:rsid w:val="00AB16A2"/>
    <w:rsid w:val="00AC1250"/>
    <w:rsid w:val="00AC5F2A"/>
    <w:rsid w:val="00AD6482"/>
    <w:rsid w:val="00AE107E"/>
    <w:rsid w:val="00AE6A79"/>
    <w:rsid w:val="00B0005C"/>
    <w:rsid w:val="00B15960"/>
    <w:rsid w:val="00B2229D"/>
    <w:rsid w:val="00B23082"/>
    <w:rsid w:val="00B2466C"/>
    <w:rsid w:val="00B31A9F"/>
    <w:rsid w:val="00B338E8"/>
    <w:rsid w:val="00B35EEE"/>
    <w:rsid w:val="00B360BA"/>
    <w:rsid w:val="00B375F1"/>
    <w:rsid w:val="00B42719"/>
    <w:rsid w:val="00B51AD6"/>
    <w:rsid w:val="00B52596"/>
    <w:rsid w:val="00B533F4"/>
    <w:rsid w:val="00B53FF6"/>
    <w:rsid w:val="00B5432D"/>
    <w:rsid w:val="00B62EC0"/>
    <w:rsid w:val="00B718B7"/>
    <w:rsid w:val="00B86FE1"/>
    <w:rsid w:val="00B96E18"/>
    <w:rsid w:val="00BA0605"/>
    <w:rsid w:val="00BB2BEE"/>
    <w:rsid w:val="00BC0135"/>
    <w:rsid w:val="00BD01B3"/>
    <w:rsid w:val="00BD601C"/>
    <w:rsid w:val="00BD6199"/>
    <w:rsid w:val="00BE312E"/>
    <w:rsid w:val="00BE66BA"/>
    <w:rsid w:val="00BF4765"/>
    <w:rsid w:val="00C07CB0"/>
    <w:rsid w:val="00C1251E"/>
    <w:rsid w:val="00C173F6"/>
    <w:rsid w:val="00C2189B"/>
    <w:rsid w:val="00C27E11"/>
    <w:rsid w:val="00C3149B"/>
    <w:rsid w:val="00C32AC6"/>
    <w:rsid w:val="00C35ECD"/>
    <w:rsid w:val="00C45D92"/>
    <w:rsid w:val="00C55EA6"/>
    <w:rsid w:val="00C5605C"/>
    <w:rsid w:val="00C600D0"/>
    <w:rsid w:val="00C62CAD"/>
    <w:rsid w:val="00C63903"/>
    <w:rsid w:val="00C870A6"/>
    <w:rsid w:val="00C927E5"/>
    <w:rsid w:val="00C965EA"/>
    <w:rsid w:val="00C9672C"/>
    <w:rsid w:val="00C97449"/>
    <w:rsid w:val="00CA6FA5"/>
    <w:rsid w:val="00CB017F"/>
    <w:rsid w:val="00CB4A6A"/>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41FAC"/>
    <w:rsid w:val="00D57077"/>
    <w:rsid w:val="00D62BCE"/>
    <w:rsid w:val="00D64CF3"/>
    <w:rsid w:val="00D8110A"/>
    <w:rsid w:val="00D8357D"/>
    <w:rsid w:val="00D9296F"/>
    <w:rsid w:val="00D97A67"/>
    <w:rsid w:val="00DA300D"/>
    <w:rsid w:val="00DA5C53"/>
    <w:rsid w:val="00DA7F0B"/>
    <w:rsid w:val="00DB17C8"/>
    <w:rsid w:val="00DD7A62"/>
    <w:rsid w:val="00DE2388"/>
    <w:rsid w:val="00DE2DB1"/>
    <w:rsid w:val="00DE5EBA"/>
    <w:rsid w:val="00DF165A"/>
    <w:rsid w:val="00E02A8F"/>
    <w:rsid w:val="00E0384F"/>
    <w:rsid w:val="00E200ED"/>
    <w:rsid w:val="00E30EED"/>
    <w:rsid w:val="00E32C0E"/>
    <w:rsid w:val="00E42FFD"/>
    <w:rsid w:val="00E62664"/>
    <w:rsid w:val="00E70393"/>
    <w:rsid w:val="00E70DA7"/>
    <w:rsid w:val="00E74606"/>
    <w:rsid w:val="00E7479E"/>
    <w:rsid w:val="00E81BAA"/>
    <w:rsid w:val="00E85876"/>
    <w:rsid w:val="00E86D0E"/>
    <w:rsid w:val="00EB1818"/>
    <w:rsid w:val="00EB3F5B"/>
    <w:rsid w:val="00EB6EFD"/>
    <w:rsid w:val="00EC1342"/>
    <w:rsid w:val="00EC2374"/>
    <w:rsid w:val="00ED03B2"/>
    <w:rsid w:val="00ED7953"/>
    <w:rsid w:val="00EE0622"/>
    <w:rsid w:val="00EE08F9"/>
    <w:rsid w:val="00EE48E9"/>
    <w:rsid w:val="00F00B12"/>
    <w:rsid w:val="00F119D8"/>
    <w:rsid w:val="00F12BED"/>
    <w:rsid w:val="00F219C8"/>
    <w:rsid w:val="00F26FFB"/>
    <w:rsid w:val="00F40722"/>
    <w:rsid w:val="00F40CA2"/>
    <w:rsid w:val="00F6244E"/>
    <w:rsid w:val="00F66A4E"/>
    <w:rsid w:val="00F67208"/>
    <w:rsid w:val="00F71EE1"/>
    <w:rsid w:val="00F767B7"/>
    <w:rsid w:val="00F77435"/>
    <w:rsid w:val="00F91A16"/>
    <w:rsid w:val="00FA2E73"/>
    <w:rsid w:val="00FB17F4"/>
    <w:rsid w:val="00FB1EA9"/>
    <w:rsid w:val="00FB7096"/>
    <w:rsid w:val="00FC091E"/>
    <w:rsid w:val="00FC6B0D"/>
    <w:rsid w:val="00FD5C33"/>
    <w:rsid w:val="00FD7804"/>
    <w:rsid w:val="00FE62C0"/>
    <w:rsid w:val="01097D2F"/>
    <w:rsid w:val="01161381"/>
    <w:rsid w:val="01257317"/>
    <w:rsid w:val="0132783D"/>
    <w:rsid w:val="0155487B"/>
    <w:rsid w:val="0160084E"/>
    <w:rsid w:val="017817AA"/>
    <w:rsid w:val="017F6FD8"/>
    <w:rsid w:val="01813A41"/>
    <w:rsid w:val="01825DFC"/>
    <w:rsid w:val="01A7022B"/>
    <w:rsid w:val="01AA1679"/>
    <w:rsid w:val="01B668C3"/>
    <w:rsid w:val="01BD0DCF"/>
    <w:rsid w:val="01C50469"/>
    <w:rsid w:val="01EF2547"/>
    <w:rsid w:val="0200614A"/>
    <w:rsid w:val="02057C74"/>
    <w:rsid w:val="02172252"/>
    <w:rsid w:val="021A3862"/>
    <w:rsid w:val="0227136C"/>
    <w:rsid w:val="022B2C0A"/>
    <w:rsid w:val="023B3CED"/>
    <w:rsid w:val="023F66B6"/>
    <w:rsid w:val="02493090"/>
    <w:rsid w:val="02531D49"/>
    <w:rsid w:val="025334C0"/>
    <w:rsid w:val="02612B5C"/>
    <w:rsid w:val="026E5A12"/>
    <w:rsid w:val="026F32DD"/>
    <w:rsid w:val="0282441D"/>
    <w:rsid w:val="0287374E"/>
    <w:rsid w:val="02A06262"/>
    <w:rsid w:val="02B14B04"/>
    <w:rsid w:val="02CF3242"/>
    <w:rsid w:val="02D36DFE"/>
    <w:rsid w:val="02DA19A6"/>
    <w:rsid w:val="02F50C20"/>
    <w:rsid w:val="03155CE0"/>
    <w:rsid w:val="031E451D"/>
    <w:rsid w:val="034C7B79"/>
    <w:rsid w:val="034E4899"/>
    <w:rsid w:val="036C7AE7"/>
    <w:rsid w:val="03836A76"/>
    <w:rsid w:val="03855767"/>
    <w:rsid w:val="03914CEF"/>
    <w:rsid w:val="03990047"/>
    <w:rsid w:val="039B6FA2"/>
    <w:rsid w:val="03AF2D1D"/>
    <w:rsid w:val="03B804CE"/>
    <w:rsid w:val="03C70711"/>
    <w:rsid w:val="03E47CA3"/>
    <w:rsid w:val="04150212"/>
    <w:rsid w:val="04365EC8"/>
    <w:rsid w:val="044B5C73"/>
    <w:rsid w:val="044C0C16"/>
    <w:rsid w:val="04504BAA"/>
    <w:rsid w:val="045D14CA"/>
    <w:rsid w:val="049A35E3"/>
    <w:rsid w:val="04CD61FB"/>
    <w:rsid w:val="04E36052"/>
    <w:rsid w:val="04E74BBB"/>
    <w:rsid w:val="05045994"/>
    <w:rsid w:val="05107E95"/>
    <w:rsid w:val="05377B18"/>
    <w:rsid w:val="05507126"/>
    <w:rsid w:val="05544226"/>
    <w:rsid w:val="055E32F7"/>
    <w:rsid w:val="05616CB1"/>
    <w:rsid w:val="05663875"/>
    <w:rsid w:val="056F72B2"/>
    <w:rsid w:val="05760640"/>
    <w:rsid w:val="058F4B18"/>
    <w:rsid w:val="0593729F"/>
    <w:rsid w:val="05A066EC"/>
    <w:rsid w:val="05B9052D"/>
    <w:rsid w:val="05BC001D"/>
    <w:rsid w:val="05C00EF6"/>
    <w:rsid w:val="05C043A1"/>
    <w:rsid w:val="05C650AD"/>
    <w:rsid w:val="05D0482D"/>
    <w:rsid w:val="05D709B3"/>
    <w:rsid w:val="05D919C1"/>
    <w:rsid w:val="05D944F0"/>
    <w:rsid w:val="05E71585"/>
    <w:rsid w:val="06086A7D"/>
    <w:rsid w:val="06090251"/>
    <w:rsid w:val="060C4B01"/>
    <w:rsid w:val="0624009C"/>
    <w:rsid w:val="06257970"/>
    <w:rsid w:val="062A4F48"/>
    <w:rsid w:val="062F4C1A"/>
    <w:rsid w:val="063130C9"/>
    <w:rsid w:val="063227D0"/>
    <w:rsid w:val="06375C91"/>
    <w:rsid w:val="064A5629"/>
    <w:rsid w:val="06585F98"/>
    <w:rsid w:val="066F3121"/>
    <w:rsid w:val="06732DD2"/>
    <w:rsid w:val="067E4035"/>
    <w:rsid w:val="06817534"/>
    <w:rsid w:val="06A1305A"/>
    <w:rsid w:val="06A82EB5"/>
    <w:rsid w:val="06BD2BEF"/>
    <w:rsid w:val="06C54CB0"/>
    <w:rsid w:val="06DC0977"/>
    <w:rsid w:val="06DC65A4"/>
    <w:rsid w:val="06E93094"/>
    <w:rsid w:val="07094BBF"/>
    <w:rsid w:val="0728596A"/>
    <w:rsid w:val="07416A2C"/>
    <w:rsid w:val="07434552"/>
    <w:rsid w:val="07465DF0"/>
    <w:rsid w:val="075C73C2"/>
    <w:rsid w:val="076369A2"/>
    <w:rsid w:val="077401F5"/>
    <w:rsid w:val="07754928"/>
    <w:rsid w:val="078739FC"/>
    <w:rsid w:val="078F59E9"/>
    <w:rsid w:val="07AD40C1"/>
    <w:rsid w:val="07B14BBB"/>
    <w:rsid w:val="07BF65A4"/>
    <w:rsid w:val="07CD358E"/>
    <w:rsid w:val="07D57174"/>
    <w:rsid w:val="07D576C9"/>
    <w:rsid w:val="07E957CF"/>
    <w:rsid w:val="07EE7232"/>
    <w:rsid w:val="08053EFD"/>
    <w:rsid w:val="08147637"/>
    <w:rsid w:val="081619E0"/>
    <w:rsid w:val="081C1E54"/>
    <w:rsid w:val="0826583C"/>
    <w:rsid w:val="083B791F"/>
    <w:rsid w:val="084E1401"/>
    <w:rsid w:val="08536B2A"/>
    <w:rsid w:val="08597DA5"/>
    <w:rsid w:val="085D5AE7"/>
    <w:rsid w:val="086F75C9"/>
    <w:rsid w:val="08907C6B"/>
    <w:rsid w:val="089B1EC4"/>
    <w:rsid w:val="08A632D3"/>
    <w:rsid w:val="08AA43DA"/>
    <w:rsid w:val="08AB098B"/>
    <w:rsid w:val="08AF4AEC"/>
    <w:rsid w:val="08C45EB0"/>
    <w:rsid w:val="08CB0CA3"/>
    <w:rsid w:val="08DA0EE6"/>
    <w:rsid w:val="08F17FDE"/>
    <w:rsid w:val="08F95139"/>
    <w:rsid w:val="08FA6E92"/>
    <w:rsid w:val="09047D11"/>
    <w:rsid w:val="09093579"/>
    <w:rsid w:val="090A5711"/>
    <w:rsid w:val="090B1428"/>
    <w:rsid w:val="091D7025"/>
    <w:rsid w:val="0946657C"/>
    <w:rsid w:val="095073FA"/>
    <w:rsid w:val="095660AE"/>
    <w:rsid w:val="095A7C8D"/>
    <w:rsid w:val="096D3578"/>
    <w:rsid w:val="09724630"/>
    <w:rsid w:val="097469C0"/>
    <w:rsid w:val="097E2250"/>
    <w:rsid w:val="09986A0B"/>
    <w:rsid w:val="09A662D7"/>
    <w:rsid w:val="09B71227"/>
    <w:rsid w:val="09CA2FA6"/>
    <w:rsid w:val="09CB12D0"/>
    <w:rsid w:val="09DB69E1"/>
    <w:rsid w:val="0A042B2D"/>
    <w:rsid w:val="0A081A83"/>
    <w:rsid w:val="0A27069E"/>
    <w:rsid w:val="0A61614B"/>
    <w:rsid w:val="0A786C09"/>
    <w:rsid w:val="0A863551"/>
    <w:rsid w:val="0A876C58"/>
    <w:rsid w:val="0A902786"/>
    <w:rsid w:val="0A942BBA"/>
    <w:rsid w:val="0AAB0D8C"/>
    <w:rsid w:val="0ABA0FCF"/>
    <w:rsid w:val="0AC01E9A"/>
    <w:rsid w:val="0ACB616E"/>
    <w:rsid w:val="0ACE4A7B"/>
    <w:rsid w:val="0ACF355F"/>
    <w:rsid w:val="0ADE60E3"/>
    <w:rsid w:val="0B093D05"/>
    <w:rsid w:val="0B0941CB"/>
    <w:rsid w:val="0B3D6E88"/>
    <w:rsid w:val="0B416FFB"/>
    <w:rsid w:val="0B5C5BDE"/>
    <w:rsid w:val="0B770BE8"/>
    <w:rsid w:val="0B9D6BF9"/>
    <w:rsid w:val="0BD266EC"/>
    <w:rsid w:val="0BD87233"/>
    <w:rsid w:val="0BE36304"/>
    <w:rsid w:val="0BE6560D"/>
    <w:rsid w:val="0BF12B54"/>
    <w:rsid w:val="0BFD07DA"/>
    <w:rsid w:val="0C0D3381"/>
    <w:rsid w:val="0C2030B4"/>
    <w:rsid w:val="0C28511E"/>
    <w:rsid w:val="0C2C7CAB"/>
    <w:rsid w:val="0C3A6864"/>
    <w:rsid w:val="0C451138"/>
    <w:rsid w:val="0C590374"/>
    <w:rsid w:val="0C5A72D4"/>
    <w:rsid w:val="0C915D60"/>
    <w:rsid w:val="0CA12639"/>
    <w:rsid w:val="0CA535B9"/>
    <w:rsid w:val="0CBD7823"/>
    <w:rsid w:val="0CCC09CB"/>
    <w:rsid w:val="0CDC24AD"/>
    <w:rsid w:val="0CE57E5A"/>
    <w:rsid w:val="0CE67012"/>
    <w:rsid w:val="0CF1450C"/>
    <w:rsid w:val="0CF4019B"/>
    <w:rsid w:val="0D0222EC"/>
    <w:rsid w:val="0D122A3E"/>
    <w:rsid w:val="0D162E8F"/>
    <w:rsid w:val="0D31309F"/>
    <w:rsid w:val="0D3355BC"/>
    <w:rsid w:val="0D3A348B"/>
    <w:rsid w:val="0D40647F"/>
    <w:rsid w:val="0D441189"/>
    <w:rsid w:val="0D5374B9"/>
    <w:rsid w:val="0D553231"/>
    <w:rsid w:val="0D892EDB"/>
    <w:rsid w:val="0D935B07"/>
    <w:rsid w:val="0D960A23"/>
    <w:rsid w:val="0DC123E3"/>
    <w:rsid w:val="0DDE3227"/>
    <w:rsid w:val="0DE9184E"/>
    <w:rsid w:val="0E12367C"/>
    <w:rsid w:val="0E2E2587"/>
    <w:rsid w:val="0E4B1576"/>
    <w:rsid w:val="0E547045"/>
    <w:rsid w:val="0E58495B"/>
    <w:rsid w:val="0E64279E"/>
    <w:rsid w:val="0E8518F4"/>
    <w:rsid w:val="0E8A515C"/>
    <w:rsid w:val="0EA969AA"/>
    <w:rsid w:val="0EAD3C7B"/>
    <w:rsid w:val="0EAF24CD"/>
    <w:rsid w:val="0EB75826"/>
    <w:rsid w:val="0EBB3C66"/>
    <w:rsid w:val="0EBB45B0"/>
    <w:rsid w:val="0ED32660"/>
    <w:rsid w:val="0F3F5F47"/>
    <w:rsid w:val="0F421593"/>
    <w:rsid w:val="0F576599"/>
    <w:rsid w:val="0F6A4791"/>
    <w:rsid w:val="0F930041"/>
    <w:rsid w:val="0FAE6C29"/>
    <w:rsid w:val="0FC51CE8"/>
    <w:rsid w:val="100223E4"/>
    <w:rsid w:val="100F554C"/>
    <w:rsid w:val="101F4CFE"/>
    <w:rsid w:val="103A1217"/>
    <w:rsid w:val="10453240"/>
    <w:rsid w:val="10623427"/>
    <w:rsid w:val="107621DF"/>
    <w:rsid w:val="10865C7F"/>
    <w:rsid w:val="109C6E08"/>
    <w:rsid w:val="10AC760C"/>
    <w:rsid w:val="10B10D45"/>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CB1D14"/>
    <w:rsid w:val="11CC15E8"/>
    <w:rsid w:val="11CE3880"/>
    <w:rsid w:val="11E15DDB"/>
    <w:rsid w:val="11E5266E"/>
    <w:rsid w:val="11F03528"/>
    <w:rsid w:val="11FE0CF6"/>
    <w:rsid w:val="1218459A"/>
    <w:rsid w:val="121E178F"/>
    <w:rsid w:val="12277E78"/>
    <w:rsid w:val="123258EF"/>
    <w:rsid w:val="123435EF"/>
    <w:rsid w:val="12453041"/>
    <w:rsid w:val="1293439A"/>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345806"/>
    <w:rsid w:val="1335544A"/>
    <w:rsid w:val="13684DFD"/>
    <w:rsid w:val="137F7A39"/>
    <w:rsid w:val="13815D45"/>
    <w:rsid w:val="13887212"/>
    <w:rsid w:val="139231D1"/>
    <w:rsid w:val="13A04ADA"/>
    <w:rsid w:val="13AB1FDE"/>
    <w:rsid w:val="13AF66D9"/>
    <w:rsid w:val="13AF6871"/>
    <w:rsid w:val="13B81E24"/>
    <w:rsid w:val="13CA1B57"/>
    <w:rsid w:val="13E850BC"/>
    <w:rsid w:val="14062128"/>
    <w:rsid w:val="1406306D"/>
    <w:rsid w:val="14100781"/>
    <w:rsid w:val="141542B3"/>
    <w:rsid w:val="14270E79"/>
    <w:rsid w:val="143D67CD"/>
    <w:rsid w:val="14407B8F"/>
    <w:rsid w:val="144A7030"/>
    <w:rsid w:val="14505E02"/>
    <w:rsid w:val="14586A70"/>
    <w:rsid w:val="145F6743"/>
    <w:rsid w:val="14603903"/>
    <w:rsid w:val="146855F8"/>
    <w:rsid w:val="148A62EF"/>
    <w:rsid w:val="14922675"/>
    <w:rsid w:val="149E726C"/>
    <w:rsid w:val="14B52807"/>
    <w:rsid w:val="14BE2ECF"/>
    <w:rsid w:val="14C12F5A"/>
    <w:rsid w:val="14C421CA"/>
    <w:rsid w:val="14D54096"/>
    <w:rsid w:val="14F15252"/>
    <w:rsid w:val="150A2F86"/>
    <w:rsid w:val="150D2643"/>
    <w:rsid w:val="151B5225"/>
    <w:rsid w:val="151E215B"/>
    <w:rsid w:val="15522F42"/>
    <w:rsid w:val="15561574"/>
    <w:rsid w:val="1558568D"/>
    <w:rsid w:val="15653784"/>
    <w:rsid w:val="156C1118"/>
    <w:rsid w:val="15802E15"/>
    <w:rsid w:val="15852F26"/>
    <w:rsid w:val="159863B1"/>
    <w:rsid w:val="159A517C"/>
    <w:rsid w:val="15A0315C"/>
    <w:rsid w:val="15AD5533"/>
    <w:rsid w:val="15B00C46"/>
    <w:rsid w:val="15CD3689"/>
    <w:rsid w:val="15D144C2"/>
    <w:rsid w:val="15D32F45"/>
    <w:rsid w:val="15DA0777"/>
    <w:rsid w:val="15ED4D6D"/>
    <w:rsid w:val="15FF01DE"/>
    <w:rsid w:val="160101E2"/>
    <w:rsid w:val="160B34F9"/>
    <w:rsid w:val="161D4F06"/>
    <w:rsid w:val="16382CA9"/>
    <w:rsid w:val="163B0AEA"/>
    <w:rsid w:val="166A49C1"/>
    <w:rsid w:val="16AD70B6"/>
    <w:rsid w:val="16B70AB9"/>
    <w:rsid w:val="16BB01E4"/>
    <w:rsid w:val="16CD3E38"/>
    <w:rsid w:val="16DB5131"/>
    <w:rsid w:val="16FC64CC"/>
    <w:rsid w:val="16FF643C"/>
    <w:rsid w:val="17141626"/>
    <w:rsid w:val="17164531"/>
    <w:rsid w:val="17350030"/>
    <w:rsid w:val="173B6C95"/>
    <w:rsid w:val="173E3223"/>
    <w:rsid w:val="174330D0"/>
    <w:rsid w:val="17485346"/>
    <w:rsid w:val="17500CF1"/>
    <w:rsid w:val="175C099D"/>
    <w:rsid w:val="179E5715"/>
    <w:rsid w:val="17B255FB"/>
    <w:rsid w:val="17DC1F43"/>
    <w:rsid w:val="17DC3F56"/>
    <w:rsid w:val="17E92EF4"/>
    <w:rsid w:val="180A3163"/>
    <w:rsid w:val="18153CE9"/>
    <w:rsid w:val="18267CA4"/>
    <w:rsid w:val="185365BF"/>
    <w:rsid w:val="18610CDC"/>
    <w:rsid w:val="186159D7"/>
    <w:rsid w:val="186D58D3"/>
    <w:rsid w:val="18901263"/>
    <w:rsid w:val="18B352B0"/>
    <w:rsid w:val="18BB0E0C"/>
    <w:rsid w:val="18C7014D"/>
    <w:rsid w:val="18C80D5B"/>
    <w:rsid w:val="18D47700"/>
    <w:rsid w:val="18DE057F"/>
    <w:rsid w:val="18E57939"/>
    <w:rsid w:val="19075F1D"/>
    <w:rsid w:val="19103E5D"/>
    <w:rsid w:val="191044B0"/>
    <w:rsid w:val="1934019F"/>
    <w:rsid w:val="19376677"/>
    <w:rsid w:val="196549B7"/>
    <w:rsid w:val="19715E69"/>
    <w:rsid w:val="1978041D"/>
    <w:rsid w:val="198645D5"/>
    <w:rsid w:val="198C7FDB"/>
    <w:rsid w:val="19947A33"/>
    <w:rsid w:val="19A075E2"/>
    <w:rsid w:val="19A65264"/>
    <w:rsid w:val="19F42A02"/>
    <w:rsid w:val="19F53DD2"/>
    <w:rsid w:val="1A1917B3"/>
    <w:rsid w:val="1A3D7527"/>
    <w:rsid w:val="1A472154"/>
    <w:rsid w:val="1A4F792D"/>
    <w:rsid w:val="1A513927"/>
    <w:rsid w:val="1A5A3C35"/>
    <w:rsid w:val="1A654388"/>
    <w:rsid w:val="1A693565"/>
    <w:rsid w:val="1A6D6D72"/>
    <w:rsid w:val="1A911621"/>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5C1C2F"/>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6E0AED"/>
    <w:rsid w:val="1C7535E6"/>
    <w:rsid w:val="1CBF05BF"/>
    <w:rsid w:val="1CCB706C"/>
    <w:rsid w:val="1CE43C8A"/>
    <w:rsid w:val="1CE617B0"/>
    <w:rsid w:val="1D0D782F"/>
    <w:rsid w:val="1D1D6812"/>
    <w:rsid w:val="1D2A34AD"/>
    <w:rsid w:val="1D375715"/>
    <w:rsid w:val="1D57062F"/>
    <w:rsid w:val="1D6D1ED1"/>
    <w:rsid w:val="1DAD6772"/>
    <w:rsid w:val="1DAE4F9B"/>
    <w:rsid w:val="1DB46794"/>
    <w:rsid w:val="1DBC793F"/>
    <w:rsid w:val="1DBD08D4"/>
    <w:rsid w:val="1DCA3975"/>
    <w:rsid w:val="1DD41F50"/>
    <w:rsid w:val="1DD43CFE"/>
    <w:rsid w:val="1DEC15DB"/>
    <w:rsid w:val="1DED0304"/>
    <w:rsid w:val="1DFA4BCA"/>
    <w:rsid w:val="1E037A02"/>
    <w:rsid w:val="1E186916"/>
    <w:rsid w:val="1E432C32"/>
    <w:rsid w:val="1E4F5A7B"/>
    <w:rsid w:val="1E537319"/>
    <w:rsid w:val="1E637854"/>
    <w:rsid w:val="1E7828DC"/>
    <w:rsid w:val="1E96518D"/>
    <w:rsid w:val="1E984D2C"/>
    <w:rsid w:val="1E990AA4"/>
    <w:rsid w:val="1EA23DFC"/>
    <w:rsid w:val="1EC93675"/>
    <w:rsid w:val="1ED0674A"/>
    <w:rsid w:val="1EDD751C"/>
    <w:rsid w:val="1EE44415"/>
    <w:rsid w:val="1EE6018D"/>
    <w:rsid w:val="1F02343B"/>
    <w:rsid w:val="1F0965DD"/>
    <w:rsid w:val="1F0E4FEE"/>
    <w:rsid w:val="1F1476A0"/>
    <w:rsid w:val="1F2E1825"/>
    <w:rsid w:val="1F307F51"/>
    <w:rsid w:val="1F4038FA"/>
    <w:rsid w:val="1F4153C3"/>
    <w:rsid w:val="1F422EEA"/>
    <w:rsid w:val="1F446C62"/>
    <w:rsid w:val="1F4C5B16"/>
    <w:rsid w:val="1F503858"/>
    <w:rsid w:val="1F551EB4"/>
    <w:rsid w:val="1F594E69"/>
    <w:rsid w:val="1F6E3CDF"/>
    <w:rsid w:val="1F896D6A"/>
    <w:rsid w:val="1F947BE9"/>
    <w:rsid w:val="1F9A0F77"/>
    <w:rsid w:val="1FCA323B"/>
    <w:rsid w:val="1FD15EDD"/>
    <w:rsid w:val="1FE30BCD"/>
    <w:rsid w:val="1FEB7691"/>
    <w:rsid w:val="1FEC3A03"/>
    <w:rsid w:val="201C7BDE"/>
    <w:rsid w:val="20207222"/>
    <w:rsid w:val="202820DF"/>
    <w:rsid w:val="20483D02"/>
    <w:rsid w:val="204B452C"/>
    <w:rsid w:val="20891098"/>
    <w:rsid w:val="208E1534"/>
    <w:rsid w:val="20B171C1"/>
    <w:rsid w:val="20B84966"/>
    <w:rsid w:val="20DE6C42"/>
    <w:rsid w:val="21052421"/>
    <w:rsid w:val="2111004A"/>
    <w:rsid w:val="21134B3E"/>
    <w:rsid w:val="21183C07"/>
    <w:rsid w:val="21224E39"/>
    <w:rsid w:val="2122794D"/>
    <w:rsid w:val="2132347E"/>
    <w:rsid w:val="2148274F"/>
    <w:rsid w:val="216058A9"/>
    <w:rsid w:val="21690C01"/>
    <w:rsid w:val="216E7FC6"/>
    <w:rsid w:val="217F6E19"/>
    <w:rsid w:val="218E2416"/>
    <w:rsid w:val="21920158"/>
    <w:rsid w:val="21C052C8"/>
    <w:rsid w:val="21C86108"/>
    <w:rsid w:val="21DD63A5"/>
    <w:rsid w:val="21E36C06"/>
    <w:rsid w:val="21F6641D"/>
    <w:rsid w:val="224D22D1"/>
    <w:rsid w:val="225C2514"/>
    <w:rsid w:val="225D2967"/>
    <w:rsid w:val="2260745F"/>
    <w:rsid w:val="227855A0"/>
    <w:rsid w:val="228757E3"/>
    <w:rsid w:val="228D4A12"/>
    <w:rsid w:val="229A553A"/>
    <w:rsid w:val="22A77FDC"/>
    <w:rsid w:val="22B365D8"/>
    <w:rsid w:val="22D05D90"/>
    <w:rsid w:val="22F10EAE"/>
    <w:rsid w:val="22F1611C"/>
    <w:rsid w:val="22FB2D4B"/>
    <w:rsid w:val="22FB3ADB"/>
    <w:rsid w:val="230C7A96"/>
    <w:rsid w:val="232211A0"/>
    <w:rsid w:val="233308F6"/>
    <w:rsid w:val="23696C97"/>
    <w:rsid w:val="236E2B22"/>
    <w:rsid w:val="237A0EA4"/>
    <w:rsid w:val="239E7120"/>
    <w:rsid w:val="23AD6C4D"/>
    <w:rsid w:val="23DD452A"/>
    <w:rsid w:val="23DE44EE"/>
    <w:rsid w:val="23E34C9B"/>
    <w:rsid w:val="23E52BF7"/>
    <w:rsid w:val="241067BA"/>
    <w:rsid w:val="241C1F5B"/>
    <w:rsid w:val="241C7DBD"/>
    <w:rsid w:val="24443260"/>
    <w:rsid w:val="247E49C4"/>
    <w:rsid w:val="24925CBD"/>
    <w:rsid w:val="24A501A2"/>
    <w:rsid w:val="24A51F50"/>
    <w:rsid w:val="24A87D56"/>
    <w:rsid w:val="251A1081"/>
    <w:rsid w:val="252723FA"/>
    <w:rsid w:val="252E4315"/>
    <w:rsid w:val="25317C88"/>
    <w:rsid w:val="25484130"/>
    <w:rsid w:val="25512BA8"/>
    <w:rsid w:val="255D0A7D"/>
    <w:rsid w:val="25696C2E"/>
    <w:rsid w:val="256F255E"/>
    <w:rsid w:val="257858B7"/>
    <w:rsid w:val="25810BEE"/>
    <w:rsid w:val="2599171D"/>
    <w:rsid w:val="25BD4455"/>
    <w:rsid w:val="25CE197B"/>
    <w:rsid w:val="25D649BC"/>
    <w:rsid w:val="25D86356"/>
    <w:rsid w:val="25DB4DE3"/>
    <w:rsid w:val="25F7772B"/>
    <w:rsid w:val="2601604F"/>
    <w:rsid w:val="26173A9D"/>
    <w:rsid w:val="26320878"/>
    <w:rsid w:val="263F63D5"/>
    <w:rsid w:val="26422054"/>
    <w:rsid w:val="266B4E43"/>
    <w:rsid w:val="26700343"/>
    <w:rsid w:val="26747E2C"/>
    <w:rsid w:val="267F5ACC"/>
    <w:rsid w:val="268E6BF0"/>
    <w:rsid w:val="26A050C5"/>
    <w:rsid w:val="26D07BC5"/>
    <w:rsid w:val="26D12B9F"/>
    <w:rsid w:val="26D96300"/>
    <w:rsid w:val="26FC7E22"/>
    <w:rsid w:val="270B01F6"/>
    <w:rsid w:val="270D3E41"/>
    <w:rsid w:val="273A7C58"/>
    <w:rsid w:val="27633147"/>
    <w:rsid w:val="27737BD1"/>
    <w:rsid w:val="27830026"/>
    <w:rsid w:val="278B7B24"/>
    <w:rsid w:val="27B20448"/>
    <w:rsid w:val="27B5749C"/>
    <w:rsid w:val="27BC5F2F"/>
    <w:rsid w:val="27D13AFA"/>
    <w:rsid w:val="27DA4FB6"/>
    <w:rsid w:val="27EC77E5"/>
    <w:rsid w:val="27EE6E31"/>
    <w:rsid w:val="27F37477"/>
    <w:rsid w:val="28011B94"/>
    <w:rsid w:val="280B2281"/>
    <w:rsid w:val="28132854"/>
    <w:rsid w:val="281573ED"/>
    <w:rsid w:val="28305FD5"/>
    <w:rsid w:val="283F26BC"/>
    <w:rsid w:val="28461C9C"/>
    <w:rsid w:val="28572169"/>
    <w:rsid w:val="28594A45"/>
    <w:rsid w:val="286F11F3"/>
    <w:rsid w:val="287C44CA"/>
    <w:rsid w:val="289607B9"/>
    <w:rsid w:val="28B27332"/>
    <w:rsid w:val="29001DAB"/>
    <w:rsid w:val="29322C3B"/>
    <w:rsid w:val="295B37F7"/>
    <w:rsid w:val="296B2A0A"/>
    <w:rsid w:val="29982961"/>
    <w:rsid w:val="29B7714B"/>
    <w:rsid w:val="29CE5AA6"/>
    <w:rsid w:val="2A222295"/>
    <w:rsid w:val="2A2E0C3A"/>
    <w:rsid w:val="2A44045E"/>
    <w:rsid w:val="2A5206CF"/>
    <w:rsid w:val="2A6401B8"/>
    <w:rsid w:val="2A65738E"/>
    <w:rsid w:val="2A9D36CA"/>
    <w:rsid w:val="2AAE5148"/>
    <w:rsid w:val="2AD30362"/>
    <w:rsid w:val="2AD86C9A"/>
    <w:rsid w:val="2AF23A16"/>
    <w:rsid w:val="2B277B63"/>
    <w:rsid w:val="2B514F38"/>
    <w:rsid w:val="2B5621F6"/>
    <w:rsid w:val="2B595843"/>
    <w:rsid w:val="2B5F129D"/>
    <w:rsid w:val="2B644AE3"/>
    <w:rsid w:val="2B7462A4"/>
    <w:rsid w:val="2B81686E"/>
    <w:rsid w:val="2B913769"/>
    <w:rsid w:val="2BA03472"/>
    <w:rsid w:val="2BA6268E"/>
    <w:rsid w:val="2BB51456"/>
    <w:rsid w:val="2BBB02AC"/>
    <w:rsid w:val="2BCC070B"/>
    <w:rsid w:val="2BD001FB"/>
    <w:rsid w:val="2BD376AB"/>
    <w:rsid w:val="2BDB094E"/>
    <w:rsid w:val="2BDB6BA0"/>
    <w:rsid w:val="2C071B96"/>
    <w:rsid w:val="2C0C12C0"/>
    <w:rsid w:val="2C4900D0"/>
    <w:rsid w:val="2C52061F"/>
    <w:rsid w:val="2C520C10"/>
    <w:rsid w:val="2C557E64"/>
    <w:rsid w:val="2C70553A"/>
    <w:rsid w:val="2CB405CE"/>
    <w:rsid w:val="2CB847EB"/>
    <w:rsid w:val="2CBC42DB"/>
    <w:rsid w:val="2CC11743"/>
    <w:rsid w:val="2CE2162C"/>
    <w:rsid w:val="2CF33A75"/>
    <w:rsid w:val="2CFC27F3"/>
    <w:rsid w:val="2D070398"/>
    <w:rsid w:val="2D0A773C"/>
    <w:rsid w:val="2D0C3CE8"/>
    <w:rsid w:val="2D0F4D53"/>
    <w:rsid w:val="2D102879"/>
    <w:rsid w:val="2D185597"/>
    <w:rsid w:val="2D2C5FB8"/>
    <w:rsid w:val="2D486A1B"/>
    <w:rsid w:val="2D5621DC"/>
    <w:rsid w:val="2D594220"/>
    <w:rsid w:val="2D7C7C1C"/>
    <w:rsid w:val="2D8617C6"/>
    <w:rsid w:val="2D994C40"/>
    <w:rsid w:val="2DA52FC1"/>
    <w:rsid w:val="2DDE305F"/>
    <w:rsid w:val="2DE12C60"/>
    <w:rsid w:val="2DE26928"/>
    <w:rsid w:val="2DE955A4"/>
    <w:rsid w:val="2DFE7860"/>
    <w:rsid w:val="2E3A5DFF"/>
    <w:rsid w:val="2E687433"/>
    <w:rsid w:val="2E712088"/>
    <w:rsid w:val="2E8157DC"/>
    <w:rsid w:val="2E825AD2"/>
    <w:rsid w:val="2E992738"/>
    <w:rsid w:val="2EA339A5"/>
    <w:rsid w:val="2EA9088F"/>
    <w:rsid w:val="2EC51D18"/>
    <w:rsid w:val="2EC671E4"/>
    <w:rsid w:val="2ED51684"/>
    <w:rsid w:val="2EE23DA1"/>
    <w:rsid w:val="2EF2479E"/>
    <w:rsid w:val="2EF7784D"/>
    <w:rsid w:val="2EFB72A5"/>
    <w:rsid w:val="2F06074C"/>
    <w:rsid w:val="2F1E48F7"/>
    <w:rsid w:val="2F2D14C0"/>
    <w:rsid w:val="2F4F7689"/>
    <w:rsid w:val="2F65401A"/>
    <w:rsid w:val="2F70551E"/>
    <w:rsid w:val="2F910D66"/>
    <w:rsid w:val="2F917175"/>
    <w:rsid w:val="2FB952B4"/>
    <w:rsid w:val="2FBD0A96"/>
    <w:rsid w:val="2FBE036A"/>
    <w:rsid w:val="2FC53D4A"/>
    <w:rsid w:val="2FE75097"/>
    <w:rsid w:val="2FF16992"/>
    <w:rsid w:val="2FF344B8"/>
    <w:rsid w:val="2FF35785"/>
    <w:rsid w:val="2FF81ACE"/>
    <w:rsid w:val="2FF9238E"/>
    <w:rsid w:val="30322514"/>
    <w:rsid w:val="304657BB"/>
    <w:rsid w:val="30556F21"/>
    <w:rsid w:val="30641927"/>
    <w:rsid w:val="30884956"/>
    <w:rsid w:val="30986E0D"/>
    <w:rsid w:val="30CB71E3"/>
    <w:rsid w:val="30DF7011"/>
    <w:rsid w:val="30F04DDC"/>
    <w:rsid w:val="310D15A9"/>
    <w:rsid w:val="31126BC0"/>
    <w:rsid w:val="311A222F"/>
    <w:rsid w:val="311E37B6"/>
    <w:rsid w:val="3121514F"/>
    <w:rsid w:val="312C3DE1"/>
    <w:rsid w:val="313E1763"/>
    <w:rsid w:val="31483202"/>
    <w:rsid w:val="314964D6"/>
    <w:rsid w:val="31505D6B"/>
    <w:rsid w:val="31505E6B"/>
    <w:rsid w:val="3152632A"/>
    <w:rsid w:val="31593D93"/>
    <w:rsid w:val="316D2048"/>
    <w:rsid w:val="3171536C"/>
    <w:rsid w:val="318B242E"/>
    <w:rsid w:val="31B00383"/>
    <w:rsid w:val="31B71515"/>
    <w:rsid w:val="31CA11A2"/>
    <w:rsid w:val="31CF4AB1"/>
    <w:rsid w:val="31DE75C5"/>
    <w:rsid w:val="31E06CBE"/>
    <w:rsid w:val="31F12C79"/>
    <w:rsid w:val="320261C4"/>
    <w:rsid w:val="320327E8"/>
    <w:rsid w:val="32161AB2"/>
    <w:rsid w:val="321E3342"/>
    <w:rsid w:val="32263B47"/>
    <w:rsid w:val="324D479C"/>
    <w:rsid w:val="32601BAD"/>
    <w:rsid w:val="326453B1"/>
    <w:rsid w:val="32952F4C"/>
    <w:rsid w:val="32963820"/>
    <w:rsid w:val="32977AF8"/>
    <w:rsid w:val="32DE38BE"/>
    <w:rsid w:val="32FA3DAF"/>
    <w:rsid w:val="33197AA3"/>
    <w:rsid w:val="331E002D"/>
    <w:rsid w:val="33333DF2"/>
    <w:rsid w:val="33576B0C"/>
    <w:rsid w:val="337C2B86"/>
    <w:rsid w:val="33883169"/>
    <w:rsid w:val="33A51F6D"/>
    <w:rsid w:val="33CC3776"/>
    <w:rsid w:val="33FA13D4"/>
    <w:rsid w:val="33FE034B"/>
    <w:rsid w:val="34052934"/>
    <w:rsid w:val="3422536C"/>
    <w:rsid w:val="342F1F88"/>
    <w:rsid w:val="34572B3B"/>
    <w:rsid w:val="34675474"/>
    <w:rsid w:val="348C6C89"/>
    <w:rsid w:val="34951FE2"/>
    <w:rsid w:val="34A244D0"/>
    <w:rsid w:val="34B71490"/>
    <w:rsid w:val="34BB131C"/>
    <w:rsid w:val="34C915A1"/>
    <w:rsid w:val="34D128B0"/>
    <w:rsid w:val="34D55CA6"/>
    <w:rsid w:val="34F767F8"/>
    <w:rsid w:val="35082F60"/>
    <w:rsid w:val="350B5E00"/>
    <w:rsid w:val="350C08BE"/>
    <w:rsid w:val="351433FA"/>
    <w:rsid w:val="351A24E7"/>
    <w:rsid w:val="352E3D4F"/>
    <w:rsid w:val="353006C9"/>
    <w:rsid w:val="35417A73"/>
    <w:rsid w:val="355E1D88"/>
    <w:rsid w:val="35607CF6"/>
    <w:rsid w:val="359940BE"/>
    <w:rsid w:val="35BE2E72"/>
    <w:rsid w:val="35C372ED"/>
    <w:rsid w:val="35CB7E1E"/>
    <w:rsid w:val="35DC597F"/>
    <w:rsid w:val="35DD75FE"/>
    <w:rsid w:val="35DE4861"/>
    <w:rsid w:val="35E64B49"/>
    <w:rsid w:val="3627628E"/>
    <w:rsid w:val="362C24D2"/>
    <w:rsid w:val="36332F50"/>
    <w:rsid w:val="363F699E"/>
    <w:rsid w:val="36514DE1"/>
    <w:rsid w:val="366E5800"/>
    <w:rsid w:val="367F63D3"/>
    <w:rsid w:val="368F0CB2"/>
    <w:rsid w:val="36B05A06"/>
    <w:rsid w:val="36B85B13"/>
    <w:rsid w:val="36B96B74"/>
    <w:rsid w:val="36DA2194"/>
    <w:rsid w:val="374558A4"/>
    <w:rsid w:val="374D6BA3"/>
    <w:rsid w:val="37503F9E"/>
    <w:rsid w:val="37542D46"/>
    <w:rsid w:val="37645A3B"/>
    <w:rsid w:val="3776777C"/>
    <w:rsid w:val="379D4064"/>
    <w:rsid w:val="37C14E9C"/>
    <w:rsid w:val="37C4673A"/>
    <w:rsid w:val="37E33064"/>
    <w:rsid w:val="381476C1"/>
    <w:rsid w:val="38284F1B"/>
    <w:rsid w:val="38305B7D"/>
    <w:rsid w:val="38310570"/>
    <w:rsid w:val="38365D05"/>
    <w:rsid w:val="383A6D6A"/>
    <w:rsid w:val="38463457"/>
    <w:rsid w:val="38563836"/>
    <w:rsid w:val="386C3BC6"/>
    <w:rsid w:val="38761738"/>
    <w:rsid w:val="387B329C"/>
    <w:rsid w:val="388E63CD"/>
    <w:rsid w:val="38977CDC"/>
    <w:rsid w:val="389E359A"/>
    <w:rsid w:val="38A97E48"/>
    <w:rsid w:val="38B63099"/>
    <w:rsid w:val="38B73D64"/>
    <w:rsid w:val="38C70290"/>
    <w:rsid w:val="38D806EF"/>
    <w:rsid w:val="38F65019"/>
    <w:rsid w:val="38FD63A7"/>
    <w:rsid w:val="391060DB"/>
    <w:rsid w:val="391334D5"/>
    <w:rsid w:val="391F1A18"/>
    <w:rsid w:val="39240C19"/>
    <w:rsid w:val="392B787A"/>
    <w:rsid w:val="392D2B72"/>
    <w:rsid w:val="39312653"/>
    <w:rsid w:val="393B1783"/>
    <w:rsid w:val="395104A1"/>
    <w:rsid w:val="39592C8F"/>
    <w:rsid w:val="395C290E"/>
    <w:rsid w:val="39693A3D"/>
    <w:rsid w:val="397F6DBC"/>
    <w:rsid w:val="39805D6E"/>
    <w:rsid w:val="39932868"/>
    <w:rsid w:val="399D7AFF"/>
    <w:rsid w:val="39A60FA8"/>
    <w:rsid w:val="39A84565"/>
    <w:rsid w:val="39B06F76"/>
    <w:rsid w:val="39B25E48"/>
    <w:rsid w:val="39BC7DFD"/>
    <w:rsid w:val="39C649EB"/>
    <w:rsid w:val="39CD3FCC"/>
    <w:rsid w:val="39DB383C"/>
    <w:rsid w:val="3A1A5C49"/>
    <w:rsid w:val="3A227348"/>
    <w:rsid w:val="3A26548A"/>
    <w:rsid w:val="3A2D6818"/>
    <w:rsid w:val="3A2E488D"/>
    <w:rsid w:val="3A7935FC"/>
    <w:rsid w:val="3A7E0E22"/>
    <w:rsid w:val="3A966BFF"/>
    <w:rsid w:val="3A971F7B"/>
    <w:rsid w:val="3AA27206"/>
    <w:rsid w:val="3AC22209"/>
    <w:rsid w:val="3B082DE1"/>
    <w:rsid w:val="3B1A0F83"/>
    <w:rsid w:val="3B265A76"/>
    <w:rsid w:val="3B390975"/>
    <w:rsid w:val="3B443337"/>
    <w:rsid w:val="3B5576EF"/>
    <w:rsid w:val="3B691AD2"/>
    <w:rsid w:val="3B7364AD"/>
    <w:rsid w:val="3B7E3B9C"/>
    <w:rsid w:val="3B8C57C0"/>
    <w:rsid w:val="3B9B5A04"/>
    <w:rsid w:val="3B9D641D"/>
    <w:rsid w:val="3BCE2366"/>
    <w:rsid w:val="3BEF38F1"/>
    <w:rsid w:val="3BFE7295"/>
    <w:rsid w:val="3C0555B2"/>
    <w:rsid w:val="3C065573"/>
    <w:rsid w:val="3C3C71E7"/>
    <w:rsid w:val="3C485B8B"/>
    <w:rsid w:val="3C4C3631"/>
    <w:rsid w:val="3C4F0B4F"/>
    <w:rsid w:val="3C7A0A20"/>
    <w:rsid w:val="3C914A84"/>
    <w:rsid w:val="3CA465F3"/>
    <w:rsid w:val="3CAD1E92"/>
    <w:rsid w:val="3CB43221"/>
    <w:rsid w:val="3CC2593E"/>
    <w:rsid w:val="3CCF3BB7"/>
    <w:rsid w:val="3CE11114"/>
    <w:rsid w:val="3D0A1093"/>
    <w:rsid w:val="3D136199"/>
    <w:rsid w:val="3D186F6A"/>
    <w:rsid w:val="3D2E2FD3"/>
    <w:rsid w:val="3D496DB4"/>
    <w:rsid w:val="3D536596"/>
    <w:rsid w:val="3D6709BE"/>
    <w:rsid w:val="3D6C76C2"/>
    <w:rsid w:val="3D762284"/>
    <w:rsid w:val="3D78388C"/>
    <w:rsid w:val="3D9A1050"/>
    <w:rsid w:val="3D9E45C6"/>
    <w:rsid w:val="3DA8208E"/>
    <w:rsid w:val="3DAE2EBA"/>
    <w:rsid w:val="3DC723DA"/>
    <w:rsid w:val="3DCE0312"/>
    <w:rsid w:val="3DE770C2"/>
    <w:rsid w:val="3E017017"/>
    <w:rsid w:val="3E076F1C"/>
    <w:rsid w:val="3E155FE5"/>
    <w:rsid w:val="3E2E18E1"/>
    <w:rsid w:val="3E525E27"/>
    <w:rsid w:val="3E5F45E9"/>
    <w:rsid w:val="3E6976D5"/>
    <w:rsid w:val="3E746592"/>
    <w:rsid w:val="3E762588"/>
    <w:rsid w:val="3E8517F7"/>
    <w:rsid w:val="3E946AF8"/>
    <w:rsid w:val="3EA1722B"/>
    <w:rsid w:val="3EB260D6"/>
    <w:rsid w:val="3EBC7034"/>
    <w:rsid w:val="3ED71FF0"/>
    <w:rsid w:val="3EE46D5C"/>
    <w:rsid w:val="3EEA641F"/>
    <w:rsid w:val="3EEB6C17"/>
    <w:rsid w:val="3EFB5264"/>
    <w:rsid w:val="3F035D9A"/>
    <w:rsid w:val="3F1461F9"/>
    <w:rsid w:val="3F261A88"/>
    <w:rsid w:val="3F3F2FD1"/>
    <w:rsid w:val="3F43663F"/>
    <w:rsid w:val="3F494E6B"/>
    <w:rsid w:val="3F4F0FDF"/>
    <w:rsid w:val="3F553395"/>
    <w:rsid w:val="3F786788"/>
    <w:rsid w:val="3F854A01"/>
    <w:rsid w:val="3F8F3AD1"/>
    <w:rsid w:val="3FC75019"/>
    <w:rsid w:val="3FDE48BE"/>
    <w:rsid w:val="3FE91433"/>
    <w:rsid w:val="3FF027C2"/>
    <w:rsid w:val="3FF4061B"/>
    <w:rsid w:val="3FFA719D"/>
    <w:rsid w:val="3FFF1934"/>
    <w:rsid w:val="4004648D"/>
    <w:rsid w:val="40186F8C"/>
    <w:rsid w:val="40420B44"/>
    <w:rsid w:val="404A5243"/>
    <w:rsid w:val="406D3CE7"/>
    <w:rsid w:val="407526A4"/>
    <w:rsid w:val="407C4056"/>
    <w:rsid w:val="40845E49"/>
    <w:rsid w:val="40A86BF9"/>
    <w:rsid w:val="40BE4471"/>
    <w:rsid w:val="40E1035D"/>
    <w:rsid w:val="411005E8"/>
    <w:rsid w:val="41114F25"/>
    <w:rsid w:val="41447E22"/>
    <w:rsid w:val="41474E76"/>
    <w:rsid w:val="414A4154"/>
    <w:rsid w:val="41522A86"/>
    <w:rsid w:val="41593F6B"/>
    <w:rsid w:val="41685208"/>
    <w:rsid w:val="416F5968"/>
    <w:rsid w:val="417E5516"/>
    <w:rsid w:val="417E7288"/>
    <w:rsid w:val="418B7876"/>
    <w:rsid w:val="418F49EA"/>
    <w:rsid w:val="41B31CF9"/>
    <w:rsid w:val="41CF4659"/>
    <w:rsid w:val="41FB36A0"/>
    <w:rsid w:val="41FE1F8D"/>
    <w:rsid w:val="42213106"/>
    <w:rsid w:val="422C3859"/>
    <w:rsid w:val="42426BD9"/>
    <w:rsid w:val="42545CAF"/>
    <w:rsid w:val="42813BA5"/>
    <w:rsid w:val="428A2783"/>
    <w:rsid w:val="429A3C84"/>
    <w:rsid w:val="42E443F3"/>
    <w:rsid w:val="42E67EAC"/>
    <w:rsid w:val="42F97BDF"/>
    <w:rsid w:val="43045C0F"/>
    <w:rsid w:val="4309762C"/>
    <w:rsid w:val="431272F0"/>
    <w:rsid w:val="43135B73"/>
    <w:rsid w:val="43326BAB"/>
    <w:rsid w:val="433E238F"/>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40525B4"/>
    <w:rsid w:val="44123DA4"/>
    <w:rsid w:val="44291151"/>
    <w:rsid w:val="442944F4"/>
    <w:rsid w:val="44427364"/>
    <w:rsid w:val="44507CD3"/>
    <w:rsid w:val="44654E01"/>
    <w:rsid w:val="44703ED1"/>
    <w:rsid w:val="44762A3D"/>
    <w:rsid w:val="44976870"/>
    <w:rsid w:val="44B729CE"/>
    <w:rsid w:val="44C85ABB"/>
    <w:rsid w:val="450067EC"/>
    <w:rsid w:val="45172264"/>
    <w:rsid w:val="45237005"/>
    <w:rsid w:val="453E5D7D"/>
    <w:rsid w:val="454809AA"/>
    <w:rsid w:val="457C1EE7"/>
    <w:rsid w:val="45920AF2"/>
    <w:rsid w:val="459A7B85"/>
    <w:rsid w:val="459D0FAB"/>
    <w:rsid w:val="45AB2B56"/>
    <w:rsid w:val="45AC19CC"/>
    <w:rsid w:val="45BC6CA2"/>
    <w:rsid w:val="45EF7078"/>
    <w:rsid w:val="4605689B"/>
    <w:rsid w:val="46137519"/>
    <w:rsid w:val="46252A99"/>
    <w:rsid w:val="46333408"/>
    <w:rsid w:val="46357180"/>
    <w:rsid w:val="46377F7D"/>
    <w:rsid w:val="46402205"/>
    <w:rsid w:val="465F6C1E"/>
    <w:rsid w:val="46611B8C"/>
    <w:rsid w:val="467C4DAF"/>
    <w:rsid w:val="46804AC7"/>
    <w:rsid w:val="46810B28"/>
    <w:rsid w:val="468236C6"/>
    <w:rsid w:val="468947E0"/>
    <w:rsid w:val="46A61E2C"/>
    <w:rsid w:val="46AA796A"/>
    <w:rsid w:val="46B636FC"/>
    <w:rsid w:val="46C54B26"/>
    <w:rsid w:val="470628CB"/>
    <w:rsid w:val="474F17A4"/>
    <w:rsid w:val="474F47BA"/>
    <w:rsid w:val="4760647F"/>
    <w:rsid w:val="477B5F15"/>
    <w:rsid w:val="47A0687C"/>
    <w:rsid w:val="47A63C85"/>
    <w:rsid w:val="47CC1972"/>
    <w:rsid w:val="47D1092E"/>
    <w:rsid w:val="47F00E85"/>
    <w:rsid w:val="47F7235A"/>
    <w:rsid w:val="47F8086D"/>
    <w:rsid w:val="48060346"/>
    <w:rsid w:val="480F3A01"/>
    <w:rsid w:val="48195A2E"/>
    <w:rsid w:val="481A3A9E"/>
    <w:rsid w:val="484336AB"/>
    <w:rsid w:val="48434C98"/>
    <w:rsid w:val="4855001F"/>
    <w:rsid w:val="485D29BF"/>
    <w:rsid w:val="485D462D"/>
    <w:rsid w:val="48606233"/>
    <w:rsid w:val="48671147"/>
    <w:rsid w:val="487A3C1A"/>
    <w:rsid w:val="488B4A09"/>
    <w:rsid w:val="488E0BAD"/>
    <w:rsid w:val="48AA4D31"/>
    <w:rsid w:val="48BD0233"/>
    <w:rsid w:val="48BD34D6"/>
    <w:rsid w:val="48BD520B"/>
    <w:rsid w:val="48C928D2"/>
    <w:rsid w:val="48FD385A"/>
    <w:rsid w:val="4900334A"/>
    <w:rsid w:val="490948F4"/>
    <w:rsid w:val="4916602E"/>
    <w:rsid w:val="49176C25"/>
    <w:rsid w:val="497A75A0"/>
    <w:rsid w:val="49877D6A"/>
    <w:rsid w:val="4993288F"/>
    <w:rsid w:val="49B51BAE"/>
    <w:rsid w:val="49B56541"/>
    <w:rsid w:val="49BD2527"/>
    <w:rsid w:val="49CA5E32"/>
    <w:rsid w:val="49CF169A"/>
    <w:rsid w:val="49D765D8"/>
    <w:rsid w:val="49E07403"/>
    <w:rsid w:val="49F0391B"/>
    <w:rsid w:val="4A015C45"/>
    <w:rsid w:val="4A037596"/>
    <w:rsid w:val="4A0A0505"/>
    <w:rsid w:val="4A0D37A6"/>
    <w:rsid w:val="4A1279BF"/>
    <w:rsid w:val="4A1C0B4B"/>
    <w:rsid w:val="4A1C51FA"/>
    <w:rsid w:val="4A1D136F"/>
    <w:rsid w:val="4A2C791A"/>
    <w:rsid w:val="4A407EA2"/>
    <w:rsid w:val="4A6107E8"/>
    <w:rsid w:val="4A6B1DF5"/>
    <w:rsid w:val="4A722025"/>
    <w:rsid w:val="4A9E38E2"/>
    <w:rsid w:val="4AB16FF2"/>
    <w:rsid w:val="4ACB00B3"/>
    <w:rsid w:val="4ACE24AA"/>
    <w:rsid w:val="4AD625B4"/>
    <w:rsid w:val="4AE53698"/>
    <w:rsid w:val="4AF929BB"/>
    <w:rsid w:val="4B004857"/>
    <w:rsid w:val="4B0B6702"/>
    <w:rsid w:val="4B11745C"/>
    <w:rsid w:val="4B3D416A"/>
    <w:rsid w:val="4B553E21"/>
    <w:rsid w:val="4B7324F9"/>
    <w:rsid w:val="4B75001F"/>
    <w:rsid w:val="4B9F4176"/>
    <w:rsid w:val="4BB2440B"/>
    <w:rsid w:val="4BBF181D"/>
    <w:rsid w:val="4BF74ED8"/>
    <w:rsid w:val="4C002553"/>
    <w:rsid w:val="4C1E2465"/>
    <w:rsid w:val="4C24253D"/>
    <w:rsid w:val="4C2B6208"/>
    <w:rsid w:val="4C405568"/>
    <w:rsid w:val="4C447F29"/>
    <w:rsid w:val="4C575977"/>
    <w:rsid w:val="4C6267F5"/>
    <w:rsid w:val="4C6912A9"/>
    <w:rsid w:val="4C771B75"/>
    <w:rsid w:val="4C8272C8"/>
    <w:rsid w:val="4C8C713F"/>
    <w:rsid w:val="4C916C2A"/>
    <w:rsid w:val="4CAA1F4A"/>
    <w:rsid w:val="4CC56D84"/>
    <w:rsid w:val="4CD34FFD"/>
    <w:rsid w:val="4CFB09F8"/>
    <w:rsid w:val="4D134D83"/>
    <w:rsid w:val="4D4D27E3"/>
    <w:rsid w:val="4D6E6AAF"/>
    <w:rsid w:val="4D803138"/>
    <w:rsid w:val="4D8E6C34"/>
    <w:rsid w:val="4D9D385D"/>
    <w:rsid w:val="4D9E4411"/>
    <w:rsid w:val="4DB7491F"/>
    <w:rsid w:val="4DC66BE6"/>
    <w:rsid w:val="4DE67A00"/>
    <w:rsid w:val="4DFF1AA1"/>
    <w:rsid w:val="4E085533"/>
    <w:rsid w:val="4E094A4F"/>
    <w:rsid w:val="4E0976AB"/>
    <w:rsid w:val="4E1753BE"/>
    <w:rsid w:val="4E1F1702"/>
    <w:rsid w:val="4E687929"/>
    <w:rsid w:val="4E6C2270"/>
    <w:rsid w:val="4E7E368F"/>
    <w:rsid w:val="4E931338"/>
    <w:rsid w:val="4EB3343D"/>
    <w:rsid w:val="4EB34377"/>
    <w:rsid w:val="4EB42C0C"/>
    <w:rsid w:val="4EC67215"/>
    <w:rsid w:val="4ED4505D"/>
    <w:rsid w:val="4ED82D9F"/>
    <w:rsid w:val="4EF770CB"/>
    <w:rsid w:val="4F05790C"/>
    <w:rsid w:val="4F4E12B3"/>
    <w:rsid w:val="4F6A776F"/>
    <w:rsid w:val="4F7D74A2"/>
    <w:rsid w:val="4FA15887"/>
    <w:rsid w:val="4FA34B34"/>
    <w:rsid w:val="4FB31116"/>
    <w:rsid w:val="4FBD6BF1"/>
    <w:rsid w:val="4FC357FD"/>
    <w:rsid w:val="4FC6067D"/>
    <w:rsid w:val="4FCE7A0A"/>
    <w:rsid w:val="4FE8630A"/>
    <w:rsid w:val="50175D29"/>
    <w:rsid w:val="501F1A47"/>
    <w:rsid w:val="50416775"/>
    <w:rsid w:val="506660F1"/>
    <w:rsid w:val="50700F74"/>
    <w:rsid w:val="509B1A23"/>
    <w:rsid w:val="50BC224C"/>
    <w:rsid w:val="50C0143E"/>
    <w:rsid w:val="50EF3FAB"/>
    <w:rsid w:val="50F84542"/>
    <w:rsid w:val="51031C29"/>
    <w:rsid w:val="51085492"/>
    <w:rsid w:val="51143E36"/>
    <w:rsid w:val="512613FD"/>
    <w:rsid w:val="51265514"/>
    <w:rsid w:val="51296E20"/>
    <w:rsid w:val="512F3572"/>
    <w:rsid w:val="515B7CB7"/>
    <w:rsid w:val="515D57DD"/>
    <w:rsid w:val="515E5734"/>
    <w:rsid w:val="515F265D"/>
    <w:rsid w:val="518E1E3B"/>
    <w:rsid w:val="519C4558"/>
    <w:rsid w:val="51AC0513"/>
    <w:rsid w:val="51BF1FF4"/>
    <w:rsid w:val="51C47ACD"/>
    <w:rsid w:val="51D75590"/>
    <w:rsid w:val="51E94C1F"/>
    <w:rsid w:val="51EB2DE9"/>
    <w:rsid w:val="520D3918"/>
    <w:rsid w:val="521F448D"/>
    <w:rsid w:val="522827C6"/>
    <w:rsid w:val="523E560F"/>
    <w:rsid w:val="523E6518"/>
    <w:rsid w:val="52426CE1"/>
    <w:rsid w:val="524E1B29"/>
    <w:rsid w:val="525D691E"/>
    <w:rsid w:val="52632C58"/>
    <w:rsid w:val="527C76A6"/>
    <w:rsid w:val="52804889"/>
    <w:rsid w:val="528A2602"/>
    <w:rsid w:val="52B92F75"/>
    <w:rsid w:val="52C06024"/>
    <w:rsid w:val="52CF76CA"/>
    <w:rsid w:val="52D941BD"/>
    <w:rsid w:val="52DC5818"/>
    <w:rsid w:val="52DE1F32"/>
    <w:rsid w:val="52F1442F"/>
    <w:rsid w:val="53202487"/>
    <w:rsid w:val="532A16EF"/>
    <w:rsid w:val="53326F35"/>
    <w:rsid w:val="535719AF"/>
    <w:rsid w:val="53685DC3"/>
    <w:rsid w:val="53A25729"/>
    <w:rsid w:val="53AA2A01"/>
    <w:rsid w:val="53AE752F"/>
    <w:rsid w:val="53B8319F"/>
    <w:rsid w:val="53EB5E3E"/>
    <w:rsid w:val="54046D5C"/>
    <w:rsid w:val="540D5E1D"/>
    <w:rsid w:val="540E0E3F"/>
    <w:rsid w:val="541128AF"/>
    <w:rsid w:val="54177AB0"/>
    <w:rsid w:val="542919A7"/>
    <w:rsid w:val="542B642E"/>
    <w:rsid w:val="54387E3C"/>
    <w:rsid w:val="5451304A"/>
    <w:rsid w:val="54534F70"/>
    <w:rsid w:val="54605D47"/>
    <w:rsid w:val="546B4511"/>
    <w:rsid w:val="54BD7A0F"/>
    <w:rsid w:val="54C0055D"/>
    <w:rsid w:val="54CD2C7A"/>
    <w:rsid w:val="54F1040F"/>
    <w:rsid w:val="54F621D1"/>
    <w:rsid w:val="55004DFD"/>
    <w:rsid w:val="55197C6D"/>
    <w:rsid w:val="552D3354"/>
    <w:rsid w:val="55486DD7"/>
    <w:rsid w:val="554C495B"/>
    <w:rsid w:val="558D7E67"/>
    <w:rsid w:val="55B55408"/>
    <w:rsid w:val="55D27501"/>
    <w:rsid w:val="55DB4F23"/>
    <w:rsid w:val="56293EE0"/>
    <w:rsid w:val="56301712"/>
    <w:rsid w:val="563F54B2"/>
    <w:rsid w:val="56407B31"/>
    <w:rsid w:val="566B274A"/>
    <w:rsid w:val="569A4DDE"/>
    <w:rsid w:val="569F6CEC"/>
    <w:rsid w:val="56BB686A"/>
    <w:rsid w:val="56C86B61"/>
    <w:rsid w:val="56D976B4"/>
    <w:rsid w:val="56E34278"/>
    <w:rsid w:val="56F72230"/>
    <w:rsid w:val="56F8518D"/>
    <w:rsid w:val="56FC15F5"/>
    <w:rsid w:val="57071EFB"/>
    <w:rsid w:val="572E3B80"/>
    <w:rsid w:val="574A4477"/>
    <w:rsid w:val="5755418B"/>
    <w:rsid w:val="575C1911"/>
    <w:rsid w:val="5779380E"/>
    <w:rsid w:val="579228CF"/>
    <w:rsid w:val="579D6934"/>
    <w:rsid w:val="57AD13F7"/>
    <w:rsid w:val="57B61657"/>
    <w:rsid w:val="57CD2643"/>
    <w:rsid w:val="57E24C8E"/>
    <w:rsid w:val="57E50508"/>
    <w:rsid w:val="5805272B"/>
    <w:rsid w:val="581367A6"/>
    <w:rsid w:val="581F6955"/>
    <w:rsid w:val="582D573F"/>
    <w:rsid w:val="5838665C"/>
    <w:rsid w:val="58464EAA"/>
    <w:rsid w:val="58483963"/>
    <w:rsid w:val="585B467E"/>
    <w:rsid w:val="58616610"/>
    <w:rsid w:val="58864000"/>
    <w:rsid w:val="588B22FF"/>
    <w:rsid w:val="589469D9"/>
    <w:rsid w:val="58A14BBC"/>
    <w:rsid w:val="58C15A31"/>
    <w:rsid w:val="58C63C68"/>
    <w:rsid w:val="58E43355"/>
    <w:rsid w:val="58E665AE"/>
    <w:rsid w:val="58EF353A"/>
    <w:rsid w:val="591757EC"/>
    <w:rsid w:val="59205A6E"/>
    <w:rsid w:val="592369E6"/>
    <w:rsid w:val="59273FBA"/>
    <w:rsid w:val="59327287"/>
    <w:rsid w:val="595B0854"/>
    <w:rsid w:val="596945E9"/>
    <w:rsid w:val="598765A3"/>
    <w:rsid w:val="599035FD"/>
    <w:rsid w:val="59C90A06"/>
    <w:rsid w:val="59CD7278"/>
    <w:rsid w:val="59DB7BE7"/>
    <w:rsid w:val="59F72B17"/>
    <w:rsid w:val="5A0C5FF2"/>
    <w:rsid w:val="5A105AE3"/>
    <w:rsid w:val="5A1251E1"/>
    <w:rsid w:val="5A405C9C"/>
    <w:rsid w:val="5A4C3B3E"/>
    <w:rsid w:val="5A5532CF"/>
    <w:rsid w:val="5A584D94"/>
    <w:rsid w:val="5A634DFB"/>
    <w:rsid w:val="5A7312A0"/>
    <w:rsid w:val="5A7871E4"/>
    <w:rsid w:val="5A79271A"/>
    <w:rsid w:val="5ADE2869"/>
    <w:rsid w:val="5AEB08A7"/>
    <w:rsid w:val="5B152C85"/>
    <w:rsid w:val="5B5254FB"/>
    <w:rsid w:val="5B5B66DC"/>
    <w:rsid w:val="5B5C7615"/>
    <w:rsid w:val="5B6A162C"/>
    <w:rsid w:val="5B863B83"/>
    <w:rsid w:val="5B8D63AC"/>
    <w:rsid w:val="5B8E36FB"/>
    <w:rsid w:val="5BB701E0"/>
    <w:rsid w:val="5BB93F58"/>
    <w:rsid w:val="5BC85F49"/>
    <w:rsid w:val="5BFB4366"/>
    <w:rsid w:val="5BFC6F6A"/>
    <w:rsid w:val="5C1B076F"/>
    <w:rsid w:val="5C2859B8"/>
    <w:rsid w:val="5C2F421A"/>
    <w:rsid w:val="5C307DD2"/>
    <w:rsid w:val="5C37394C"/>
    <w:rsid w:val="5C392920"/>
    <w:rsid w:val="5C567452"/>
    <w:rsid w:val="5C5934B7"/>
    <w:rsid w:val="5C5B0B6B"/>
    <w:rsid w:val="5C7B35C9"/>
    <w:rsid w:val="5C8005D2"/>
    <w:rsid w:val="5CA72002"/>
    <w:rsid w:val="5CB323C9"/>
    <w:rsid w:val="5CBF3AD3"/>
    <w:rsid w:val="5CCF02E3"/>
    <w:rsid w:val="5CD86660"/>
    <w:rsid w:val="5CF8460C"/>
    <w:rsid w:val="5D01492A"/>
    <w:rsid w:val="5D2252A3"/>
    <w:rsid w:val="5D2667F5"/>
    <w:rsid w:val="5D310ED7"/>
    <w:rsid w:val="5D355860"/>
    <w:rsid w:val="5D36056C"/>
    <w:rsid w:val="5D406F09"/>
    <w:rsid w:val="5D495CFE"/>
    <w:rsid w:val="5D5C7C44"/>
    <w:rsid w:val="5D734E56"/>
    <w:rsid w:val="5D7D5E0E"/>
    <w:rsid w:val="5D9316A5"/>
    <w:rsid w:val="5D9C190F"/>
    <w:rsid w:val="5DB1138B"/>
    <w:rsid w:val="5DB619E8"/>
    <w:rsid w:val="5DC75882"/>
    <w:rsid w:val="5DE4797B"/>
    <w:rsid w:val="5DE6427A"/>
    <w:rsid w:val="5E160087"/>
    <w:rsid w:val="5E1D51C7"/>
    <w:rsid w:val="5E3308A2"/>
    <w:rsid w:val="5E382E9C"/>
    <w:rsid w:val="5E3D2D5C"/>
    <w:rsid w:val="5E597218"/>
    <w:rsid w:val="5E607240"/>
    <w:rsid w:val="5E6301AB"/>
    <w:rsid w:val="5E7A20FA"/>
    <w:rsid w:val="5E972EC7"/>
    <w:rsid w:val="5E9E4667"/>
    <w:rsid w:val="5EB12C79"/>
    <w:rsid w:val="5ECB28DF"/>
    <w:rsid w:val="5EF60C1C"/>
    <w:rsid w:val="5F147E07"/>
    <w:rsid w:val="5F3F4774"/>
    <w:rsid w:val="5F4B136B"/>
    <w:rsid w:val="5F887568"/>
    <w:rsid w:val="5F944FE5"/>
    <w:rsid w:val="5F996242"/>
    <w:rsid w:val="5F9C34CF"/>
    <w:rsid w:val="5FB058C0"/>
    <w:rsid w:val="5FC52828"/>
    <w:rsid w:val="5FF12CB7"/>
    <w:rsid w:val="5FF9339D"/>
    <w:rsid w:val="60025ECE"/>
    <w:rsid w:val="6016160C"/>
    <w:rsid w:val="6026252E"/>
    <w:rsid w:val="604A0FC0"/>
    <w:rsid w:val="605C29E7"/>
    <w:rsid w:val="606F2948"/>
    <w:rsid w:val="607E5A53"/>
    <w:rsid w:val="60805044"/>
    <w:rsid w:val="609829AE"/>
    <w:rsid w:val="6098413C"/>
    <w:rsid w:val="60A34518"/>
    <w:rsid w:val="60B533FC"/>
    <w:rsid w:val="60E71ECF"/>
    <w:rsid w:val="60F25C64"/>
    <w:rsid w:val="615C3B75"/>
    <w:rsid w:val="61634A96"/>
    <w:rsid w:val="6166248C"/>
    <w:rsid w:val="61693EB7"/>
    <w:rsid w:val="616C4586"/>
    <w:rsid w:val="618574EF"/>
    <w:rsid w:val="61897F29"/>
    <w:rsid w:val="61922C2C"/>
    <w:rsid w:val="61B01959"/>
    <w:rsid w:val="61B076A7"/>
    <w:rsid w:val="61B431F8"/>
    <w:rsid w:val="61E15FB7"/>
    <w:rsid w:val="61E237E7"/>
    <w:rsid w:val="61F050AA"/>
    <w:rsid w:val="620121B5"/>
    <w:rsid w:val="62165F89"/>
    <w:rsid w:val="62181329"/>
    <w:rsid w:val="62361BC0"/>
    <w:rsid w:val="62600371"/>
    <w:rsid w:val="62647FA7"/>
    <w:rsid w:val="62662018"/>
    <w:rsid w:val="626970D8"/>
    <w:rsid w:val="626B7A9E"/>
    <w:rsid w:val="626F711E"/>
    <w:rsid w:val="628350AF"/>
    <w:rsid w:val="62917095"/>
    <w:rsid w:val="629B75A4"/>
    <w:rsid w:val="62AE1CFD"/>
    <w:rsid w:val="62AF0244"/>
    <w:rsid w:val="62B30528"/>
    <w:rsid w:val="62B31701"/>
    <w:rsid w:val="63071A4D"/>
    <w:rsid w:val="630A5099"/>
    <w:rsid w:val="631303F2"/>
    <w:rsid w:val="632679EE"/>
    <w:rsid w:val="632A1297"/>
    <w:rsid w:val="633914DA"/>
    <w:rsid w:val="633E4EB1"/>
    <w:rsid w:val="63402869"/>
    <w:rsid w:val="634126CF"/>
    <w:rsid w:val="634B549F"/>
    <w:rsid w:val="6353510B"/>
    <w:rsid w:val="635F0273"/>
    <w:rsid w:val="635F7375"/>
    <w:rsid w:val="63770981"/>
    <w:rsid w:val="638448A7"/>
    <w:rsid w:val="63864661"/>
    <w:rsid w:val="63912B14"/>
    <w:rsid w:val="63EE6DBE"/>
    <w:rsid w:val="64124205"/>
    <w:rsid w:val="641D655D"/>
    <w:rsid w:val="644055E3"/>
    <w:rsid w:val="644545DB"/>
    <w:rsid w:val="645224A9"/>
    <w:rsid w:val="645B3DFE"/>
    <w:rsid w:val="64694AED"/>
    <w:rsid w:val="64CA4EC2"/>
    <w:rsid w:val="64D140C0"/>
    <w:rsid w:val="64DF4A2F"/>
    <w:rsid w:val="64E57B6C"/>
    <w:rsid w:val="64EC2CA8"/>
    <w:rsid w:val="64F86EC8"/>
    <w:rsid w:val="64FF16AF"/>
    <w:rsid w:val="653B778C"/>
    <w:rsid w:val="654900FB"/>
    <w:rsid w:val="655A4D8E"/>
    <w:rsid w:val="655A669E"/>
    <w:rsid w:val="655B2CBD"/>
    <w:rsid w:val="655B398A"/>
    <w:rsid w:val="657617E2"/>
    <w:rsid w:val="6576251B"/>
    <w:rsid w:val="658E6328"/>
    <w:rsid w:val="65962C14"/>
    <w:rsid w:val="65A911DD"/>
    <w:rsid w:val="65AB66C0"/>
    <w:rsid w:val="65AC2438"/>
    <w:rsid w:val="65D025CA"/>
    <w:rsid w:val="65E25C76"/>
    <w:rsid w:val="65E41BD1"/>
    <w:rsid w:val="65E6594A"/>
    <w:rsid w:val="65F06063"/>
    <w:rsid w:val="65F8742B"/>
    <w:rsid w:val="661651B5"/>
    <w:rsid w:val="661F0E5C"/>
    <w:rsid w:val="662B3C7C"/>
    <w:rsid w:val="663366B5"/>
    <w:rsid w:val="666D7E19"/>
    <w:rsid w:val="667216FA"/>
    <w:rsid w:val="668C0465"/>
    <w:rsid w:val="669F1064"/>
    <w:rsid w:val="66A31A8D"/>
    <w:rsid w:val="66A56C29"/>
    <w:rsid w:val="66AA193F"/>
    <w:rsid w:val="66BB5028"/>
    <w:rsid w:val="66D37353"/>
    <w:rsid w:val="66E0683D"/>
    <w:rsid w:val="67102E27"/>
    <w:rsid w:val="672A2D9B"/>
    <w:rsid w:val="67622DF5"/>
    <w:rsid w:val="67780823"/>
    <w:rsid w:val="677E4A3D"/>
    <w:rsid w:val="67900263"/>
    <w:rsid w:val="679F2119"/>
    <w:rsid w:val="67A704F3"/>
    <w:rsid w:val="67B16DEC"/>
    <w:rsid w:val="67B3300F"/>
    <w:rsid w:val="67D5211A"/>
    <w:rsid w:val="67D7383E"/>
    <w:rsid w:val="67D94545"/>
    <w:rsid w:val="67DA57C2"/>
    <w:rsid w:val="67EB51FC"/>
    <w:rsid w:val="682732A7"/>
    <w:rsid w:val="68273612"/>
    <w:rsid w:val="682E13BE"/>
    <w:rsid w:val="682E5386"/>
    <w:rsid w:val="683E1A6D"/>
    <w:rsid w:val="68524E43"/>
    <w:rsid w:val="68582421"/>
    <w:rsid w:val="685F2474"/>
    <w:rsid w:val="68682EB7"/>
    <w:rsid w:val="687E0F75"/>
    <w:rsid w:val="689D5018"/>
    <w:rsid w:val="68AC4F32"/>
    <w:rsid w:val="68B20A9E"/>
    <w:rsid w:val="68BA4E6C"/>
    <w:rsid w:val="68C901BB"/>
    <w:rsid w:val="68DC4DE2"/>
    <w:rsid w:val="68DE0B5A"/>
    <w:rsid w:val="68F4037D"/>
    <w:rsid w:val="69034A64"/>
    <w:rsid w:val="69206255"/>
    <w:rsid w:val="692A3D9F"/>
    <w:rsid w:val="692F7608"/>
    <w:rsid w:val="69456E2B"/>
    <w:rsid w:val="695D5F23"/>
    <w:rsid w:val="69613CB4"/>
    <w:rsid w:val="697238AA"/>
    <w:rsid w:val="69765746"/>
    <w:rsid w:val="69833542"/>
    <w:rsid w:val="69AE49D0"/>
    <w:rsid w:val="69CA13F4"/>
    <w:rsid w:val="69EA26B3"/>
    <w:rsid w:val="69EF33C0"/>
    <w:rsid w:val="69F05CE0"/>
    <w:rsid w:val="69F93837"/>
    <w:rsid w:val="6A0E546F"/>
    <w:rsid w:val="6A173B03"/>
    <w:rsid w:val="6A1D5C82"/>
    <w:rsid w:val="6A2B4273"/>
    <w:rsid w:val="6A321963"/>
    <w:rsid w:val="6A415844"/>
    <w:rsid w:val="6A4470E3"/>
    <w:rsid w:val="6A474A4C"/>
    <w:rsid w:val="6A49280C"/>
    <w:rsid w:val="6A6E2276"/>
    <w:rsid w:val="6A8B4D12"/>
    <w:rsid w:val="6A90057A"/>
    <w:rsid w:val="6A955B90"/>
    <w:rsid w:val="6A971908"/>
    <w:rsid w:val="6AC567E1"/>
    <w:rsid w:val="6AF13F41"/>
    <w:rsid w:val="6B0654D4"/>
    <w:rsid w:val="6B1265FB"/>
    <w:rsid w:val="6B1D005F"/>
    <w:rsid w:val="6B407BD8"/>
    <w:rsid w:val="6B4355EC"/>
    <w:rsid w:val="6B5A3D3B"/>
    <w:rsid w:val="6B69318E"/>
    <w:rsid w:val="6B6C3996"/>
    <w:rsid w:val="6B7E2B1F"/>
    <w:rsid w:val="6B82328A"/>
    <w:rsid w:val="6BA001B4"/>
    <w:rsid w:val="6BAF58B8"/>
    <w:rsid w:val="6BBC3075"/>
    <w:rsid w:val="6BD04DDF"/>
    <w:rsid w:val="6C272818"/>
    <w:rsid w:val="6C3842A8"/>
    <w:rsid w:val="6C3F4006"/>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FD335E"/>
    <w:rsid w:val="6D254FA9"/>
    <w:rsid w:val="6D29299C"/>
    <w:rsid w:val="6D3276C6"/>
    <w:rsid w:val="6D5342F6"/>
    <w:rsid w:val="6D592EA5"/>
    <w:rsid w:val="6D8112C5"/>
    <w:rsid w:val="6D8E05A2"/>
    <w:rsid w:val="6D936D70"/>
    <w:rsid w:val="6D9B170F"/>
    <w:rsid w:val="6DA11374"/>
    <w:rsid w:val="6DAC7479"/>
    <w:rsid w:val="6DC01176"/>
    <w:rsid w:val="6DD0796C"/>
    <w:rsid w:val="6DD15131"/>
    <w:rsid w:val="6DD3085F"/>
    <w:rsid w:val="6E044771"/>
    <w:rsid w:val="6E116602"/>
    <w:rsid w:val="6E323894"/>
    <w:rsid w:val="6E402699"/>
    <w:rsid w:val="6E480D56"/>
    <w:rsid w:val="6E697118"/>
    <w:rsid w:val="6E8F5D83"/>
    <w:rsid w:val="6E95615F"/>
    <w:rsid w:val="6EBD1AB8"/>
    <w:rsid w:val="6ECF6B20"/>
    <w:rsid w:val="6ED87134"/>
    <w:rsid w:val="6ED9618E"/>
    <w:rsid w:val="6EDF0D92"/>
    <w:rsid w:val="6EE5485B"/>
    <w:rsid w:val="6F034CBF"/>
    <w:rsid w:val="6F1E7F02"/>
    <w:rsid w:val="6F4905AB"/>
    <w:rsid w:val="6F523AC2"/>
    <w:rsid w:val="6F6F69B0"/>
    <w:rsid w:val="6F7554FA"/>
    <w:rsid w:val="6F83245B"/>
    <w:rsid w:val="6F8A37EA"/>
    <w:rsid w:val="6FB81036"/>
    <w:rsid w:val="6FEA741D"/>
    <w:rsid w:val="6FFD3FBC"/>
    <w:rsid w:val="70001CFE"/>
    <w:rsid w:val="7000585A"/>
    <w:rsid w:val="70041D30"/>
    <w:rsid w:val="700C60B1"/>
    <w:rsid w:val="701D0900"/>
    <w:rsid w:val="701E7E11"/>
    <w:rsid w:val="702574A7"/>
    <w:rsid w:val="702F4391"/>
    <w:rsid w:val="704B653D"/>
    <w:rsid w:val="705102AC"/>
    <w:rsid w:val="7055204A"/>
    <w:rsid w:val="70553DF8"/>
    <w:rsid w:val="70555429"/>
    <w:rsid w:val="708244C1"/>
    <w:rsid w:val="70875F7B"/>
    <w:rsid w:val="709A7A5C"/>
    <w:rsid w:val="70A33082"/>
    <w:rsid w:val="70AE736D"/>
    <w:rsid w:val="70BD374B"/>
    <w:rsid w:val="70EC412D"/>
    <w:rsid w:val="711315BD"/>
    <w:rsid w:val="71551BD5"/>
    <w:rsid w:val="7156438B"/>
    <w:rsid w:val="715A2557"/>
    <w:rsid w:val="71676477"/>
    <w:rsid w:val="718A76FC"/>
    <w:rsid w:val="71AF446F"/>
    <w:rsid w:val="71C730E1"/>
    <w:rsid w:val="721455EC"/>
    <w:rsid w:val="7229553C"/>
    <w:rsid w:val="722D66AE"/>
    <w:rsid w:val="7251239D"/>
    <w:rsid w:val="7260196C"/>
    <w:rsid w:val="727268E0"/>
    <w:rsid w:val="727C634F"/>
    <w:rsid w:val="72A46F48"/>
    <w:rsid w:val="72A56887"/>
    <w:rsid w:val="72BA0B6E"/>
    <w:rsid w:val="72BE7080"/>
    <w:rsid w:val="72F41D22"/>
    <w:rsid w:val="73267CCD"/>
    <w:rsid w:val="734C3E6C"/>
    <w:rsid w:val="734E7A05"/>
    <w:rsid w:val="73591E51"/>
    <w:rsid w:val="735A6771"/>
    <w:rsid w:val="735F1AA0"/>
    <w:rsid w:val="73770529"/>
    <w:rsid w:val="737A6AC3"/>
    <w:rsid w:val="737D075C"/>
    <w:rsid w:val="739C3AEB"/>
    <w:rsid w:val="73AE6869"/>
    <w:rsid w:val="73B057E9"/>
    <w:rsid w:val="73C5064F"/>
    <w:rsid w:val="7409651C"/>
    <w:rsid w:val="74147B26"/>
    <w:rsid w:val="741A3431"/>
    <w:rsid w:val="74367A9C"/>
    <w:rsid w:val="74377EB7"/>
    <w:rsid w:val="7440479D"/>
    <w:rsid w:val="74455F31"/>
    <w:rsid w:val="745A5E80"/>
    <w:rsid w:val="745D14CD"/>
    <w:rsid w:val="74610332"/>
    <w:rsid w:val="747B1AED"/>
    <w:rsid w:val="7493355D"/>
    <w:rsid w:val="749A5433"/>
    <w:rsid w:val="749C0EB0"/>
    <w:rsid w:val="74A25132"/>
    <w:rsid w:val="74A964C0"/>
    <w:rsid w:val="74AA074C"/>
    <w:rsid w:val="74B80DF9"/>
    <w:rsid w:val="74C72A2B"/>
    <w:rsid w:val="750F2674"/>
    <w:rsid w:val="751A00A9"/>
    <w:rsid w:val="75390090"/>
    <w:rsid w:val="753A180E"/>
    <w:rsid w:val="753A3015"/>
    <w:rsid w:val="75472BD8"/>
    <w:rsid w:val="757345DF"/>
    <w:rsid w:val="75894140"/>
    <w:rsid w:val="759C1FD6"/>
    <w:rsid w:val="75A2437B"/>
    <w:rsid w:val="75C37324"/>
    <w:rsid w:val="75D80A35"/>
    <w:rsid w:val="75F55735"/>
    <w:rsid w:val="75FE6CDF"/>
    <w:rsid w:val="760065B4"/>
    <w:rsid w:val="760805F4"/>
    <w:rsid w:val="760A6649"/>
    <w:rsid w:val="762914CB"/>
    <w:rsid w:val="763B583E"/>
    <w:rsid w:val="76415374"/>
    <w:rsid w:val="766670D0"/>
    <w:rsid w:val="76742AFE"/>
    <w:rsid w:val="769709D0"/>
    <w:rsid w:val="76A74C81"/>
    <w:rsid w:val="76CE7AD1"/>
    <w:rsid w:val="76D421B4"/>
    <w:rsid w:val="76F31E7A"/>
    <w:rsid w:val="76F83289"/>
    <w:rsid w:val="76F876DF"/>
    <w:rsid w:val="77007CDA"/>
    <w:rsid w:val="770837FD"/>
    <w:rsid w:val="77091498"/>
    <w:rsid w:val="770D18CD"/>
    <w:rsid w:val="77310D53"/>
    <w:rsid w:val="77333E74"/>
    <w:rsid w:val="774E334F"/>
    <w:rsid w:val="7766571B"/>
    <w:rsid w:val="778209AD"/>
    <w:rsid w:val="77B70EF4"/>
    <w:rsid w:val="77FF0221"/>
    <w:rsid w:val="77FF289B"/>
    <w:rsid w:val="78016613"/>
    <w:rsid w:val="780A5CCC"/>
    <w:rsid w:val="780B2B61"/>
    <w:rsid w:val="781841F2"/>
    <w:rsid w:val="78200134"/>
    <w:rsid w:val="782347DB"/>
    <w:rsid w:val="78526E6F"/>
    <w:rsid w:val="78593D48"/>
    <w:rsid w:val="786A240A"/>
    <w:rsid w:val="786B5465"/>
    <w:rsid w:val="78BD1399"/>
    <w:rsid w:val="78E51A91"/>
    <w:rsid w:val="78E926E0"/>
    <w:rsid w:val="78EA52F9"/>
    <w:rsid w:val="78F65A4C"/>
    <w:rsid w:val="79030457"/>
    <w:rsid w:val="792A6003"/>
    <w:rsid w:val="79492020"/>
    <w:rsid w:val="794B223C"/>
    <w:rsid w:val="79596BB6"/>
    <w:rsid w:val="79713215"/>
    <w:rsid w:val="798F4904"/>
    <w:rsid w:val="799D670D"/>
    <w:rsid w:val="79A7404E"/>
    <w:rsid w:val="79A84045"/>
    <w:rsid w:val="79C30024"/>
    <w:rsid w:val="79DA7E36"/>
    <w:rsid w:val="79F301DD"/>
    <w:rsid w:val="79FE105C"/>
    <w:rsid w:val="7A0E456C"/>
    <w:rsid w:val="7A1B7E60"/>
    <w:rsid w:val="7A2B1A67"/>
    <w:rsid w:val="7A3E3B4E"/>
    <w:rsid w:val="7A4A24F3"/>
    <w:rsid w:val="7A5173D7"/>
    <w:rsid w:val="7A560E98"/>
    <w:rsid w:val="7A637111"/>
    <w:rsid w:val="7A6730A5"/>
    <w:rsid w:val="7A777060"/>
    <w:rsid w:val="7A811C8D"/>
    <w:rsid w:val="7AB41BCC"/>
    <w:rsid w:val="7AB636E5"/>
    <w:rsid w:val="7ABA3AA8"/>
    <w:rsid w:val="7AD24297"/>
    <w:rsid w:val="7AD85BCB"/>
    <w:rsid w:val="7AE02768"/>
    <w:rsid w:val="7AE069B4"/>
    <w:rsid w:val="7AED10D1"/>
    <w:rsid w:val="7B0B4F4E"/>
    <w:rsid w:val="7B0C59FB"/>
    <w:rsid w:val="7B1623D5"/>
    <w:rsid w:val="7B16616D"/>
    <w:rsid w:val="7B400342"/>
    <w:rsid w:val="7B5E46A1"/>
    <w:rsid w:val="7B75495B"/>
    <w:rsid w:val="7B842755"/>
    <w:rsid w:val="7B915F00"/>
    <w:rsid w:val="7B98103C"/>
    <w:rsid w:val="7B9C0261"/>
    <w:rsid w:val="7BA14395"/>
    <w:rsid w:val="7BC31773"/>
    <w:rsid w:val="7BCE579E"/>
    <w:rsid w:val="7BDA1B76"/>
    <w:rsid w:val="7BE82F8F"/>
    <w:rsid w:val="7BE966E3"/>
    <w:rsid w:val="7BEB41C7"/>
    <w:rsid w:val="7BED75DA"/>
    <w:rsid w:val="7C094BFB"/>
    <w:rsid w:val="7C0D5378"/>
    <w:rsid w:val="7C15268D"/>
    <w:rsid w:val="7C16611A"/>
    <w:rsid w:val="7C1D7794"/>
    <w:rsid w:val="7C266648"/>
    <w:rsid w:val="7C2B1EB0"/>
    <w:rsid w:val="7C305719"/>
    <w:rsid w:val="7C506DEC"/>
    <w:rsid w:val="7C777E09"/>
    <w:rsid w:val="7C990EA1"/>
    <w:rsid w:val="7CA9293A"/>
    <w:rsid w:val="7CB77BE8"/>
    <w:rsid w:val="7CC05DA9"/>
    <w:rsid w:val="7CD662C0"/>
    <w:rsid w:val="7CF57024"/>
    <w:rsid w:val="7CF6426C"/>
    <w:rsid w:val="7D21734E"/>
    <w:rsid w:val="7D284642"/>
    <w:rsid w:val="7D382AD7"/>
    <w:rsid w:val="7D3E0ACF"/>
    <w:rsid w:val="7D840CC5"/>
    <w:rsid w:val="7D8A0C03"/>
    <w:rsid w:val="7D8C6BBD"/>
    <w:rsid w:val="7D9931BD"/>
    <w:rsid w:val="7D9C2DC9"/>
    <w:rsid w:val="7DA65205"/>
    <w:rsid w:val="7DA93EBE"/>
    <w:rsid w:val="7DB14637"/>
    <w:rsid w:val="7E1E3A2E"/>
    <w:rsid w:val="7E3A23D1"/>
    <w:rsid w:val="7E555BD1"/>
    <w:rsid w:val="7E7324B4"/>
    <w:rsid w:val="7E747B3F"/>
    <w:rsid w:val="7E754607"/>
    <w:rsid w:val="7E7A2918"/>
    <w:rsid w:val="7E837D82"/>
    <w:rsid w:val="7EA131CA"/>
    <w:rsid w:val="7EB005FA"/>
    <w:rsid w:val="7EB81E63"/>
    <w:rsid w:val="7EBB39C0"/>
    <w:rsid w:val="7EC531D7"/>
    <w:rsid w:val="7EFE4293"/>
    <w:rsid w:val="7F060D40"/>
    <w:rsid w:val="7F091139"/>
    <w:rsid w:val="7F266502"/>
    <w:rsid w:val="7F2B4732"/>
    <w:rsid w:val="7F2B66C5"/>
    <w:rsid w:val="7F2D1E7F"/>
    <w:rsid w:val="7F2F3A66"/>
    <w:rsid w:val="7F2F7F0A"/>
    <w:rsid w:val="7F34107C"/>
    <w:rsid w:val="7F3670CE"/>
    <w:rsid w:val="7F3948E4"/>
    <w:rsid w:val="7F47412F"/>
    <w:rsid w:val="7F480FCB"/>
    <w:rsid w:val="7F5D4A77"/>
    <w:rsid w:val="7F932970"/>
    <w:rsid w:val="7FAB3A34"/>
    <w:rsid w:val="7FD85EAB"/>
    <w:rsid w:val="7FDD1714"/>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35"/>
    <w:autoRedefine/>
    <w:qFormat/>
    <w:uiPriority w:val="0"/>
    <w:pPr>
      <w:keepNext/>
      <w:keepLines/>
      <w:spacing w:before="340" w:after="330" w:line="578" w:lineRule="auto"/>
      <w:outlineLvl w:val="0"/>
    </w:pPr>
    <w:rPr>
      <w:b/>
      <w:bCs/>
      <w:kern w:val="44"/>
      <w:sz w:val="44"/>
      <w:szCs w:val="44"/>
    </w:rPr>
  </w:style>
  <w:style w:type="paragraph" w:styleId="2">
    <w:name w:val="heading 2"/>
    <w:basedOn w:val="1"/>
    <w:next w:val="1"/>
    <w:link w:val="47"/>
    <w:autoRedefine/>
    <w:unhideWhenUsed/>
    <w:qFormat/>
    <w:uiPriority w:val="9"/>
    <w:pPr>
      <w:keepNext/>
      <w:keepLines/>
      <w:outlineLvl w:val="1"/>
    </w:pPr>
    <w:rPr>
      <w:rFonts w:ascii="Arial" w:hAnsi="Arial"/>
      <w:b/>
    </w:rPr>
  </w:style>
  <w:style w:type="paragraph" w:styleId="4">
    <w:name w:val="heading 3"/>
    <w:basedOn w:val="1"/>
    <w:next w:val="1"/>
    <w:autoRedefine/>
    <w:unhideWhenUsed/>
    <w:qFormat/>
    <w:uiPriority w:val="9"/>
    <w:pPr>
      <w:keepNext/>
      <w:keepLines/>
      <w:spacing w:line="413" w:lineRule="auto"/>
      <w:ind w:firstLine="880" w:firstLineChars="200"/>
      <w:outlineLvl w:val="2"/>
    </w:pPr>
    <w:rPr>
      <w:rFonts w:eastAsia="黑体"/>
      <w:sz w:val="28"/>
    </w:rPr>
  </w:style>
  <w:style w:type="character" w:default="1" w:styleId="16">
    <w:name w:val="Default Paragraph Font"/>
    <w:autoRedefine/>
    <w:semiHidden/>
    <w:unhideWhenUsed/>
    <w:qFormat/>
    <w:uiPriority w:val="1"/>
  </w:style>
  <w:style w:type="table" w:default="1" w:styleId="14">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3"/>
    <w:autoRedefine/>
    <w:qFormat/>
    <w:uiPriority w:val="0"/>
    <w:pPr>
      <w:jc w:val="left"/>
    </w:pPr>
  </w:style>
  <w:style w:type="paragraph" w:styleId="6">
    <w:name w:val="Body Text Indent 2"/>
    <w:basedOn w:val="1"/>
    <w:link w:val="36"/>
    <w:autoRedefine/>
    <w:qFormat/>
    <w:uiPriority w:val="99"/>
    <w:pPr>
      <w:ind w:firstLine="560"/>
    </w:pPr>
    <w:rPr>
      <w:rFonts w:ascii="Times New Roman" w:hAnsi="Times New Roman" w:eastAsia="汉仪粗仿宋简"/>
      <w:sz w:val="28"/>
      <w:szCs w:val="28"/>
    </w:rPr>
  </w:style>
  <w:style w:type="paragraph" w:styleId="7">
    <w:name w:val="Balloon Text"/>
    <w:basedOn w:val="1"/>
    <w:link w:val="32"/>
    <w:autoRedefine/>
    <w:qFormat/>
    <w:uiPriority w:val="0"/>
    <w:rPr>
      <w:sz w:val="18"/>
      <w:szCs w:val="18"/>
    </w:rPr>
  </w:style>
  <w:style w:type="paragraph" w:styleId="8">
    <w:name w:val="footer"/>
    <w:basedOn w:val="1"/>
    <w:link w:val="21"/>
    <w:autoRedefine/>
    <w:qFormat/>
    <w:uiPriority w:val="0"/>
    <w:pPr>
      <w:tabs>
        <w:tab w:val="center" w:pos="4153"/>
        <w:tab w:val="right" w:pos="8306"/>
      </w:tabs>
      <w:snapToGrid w:val="0"/>
      <w:jc w:val="left"/>
    </w:pPr>
    <w:rPr>
      <w:sz w:val="18"/>
      <w:szCs w:val="18"/>
    </w:rPr>
  </w:style>
  <w:style w:type="paragraph" w:styleId="9">
    <w:name w:val="header"/>
    <w:basedOn w:val="1"/>
    <w:link w:val="20"/>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qFormat/>
    <w:uiPriority w:val="0"/>
  </w:style>
  <w:style w:type="paragraph" w:styleId="11">
    <w:name w:val="toc 2"/>
    <w:basedOn w:val="1"/>
    <w:next w:val="1"/>
    <w:autoRedefine/>
    <w:qFormat/>
    <w:uiPriority w:val="0"/>
    <w:pPr>
      <w:ind w:left="420" w:leftChars="200"/>
    </w:pPr>
  </w:style>
  <w:style w:type="paragraph" w:styleId="12">
    <w:name w:val="Normal (Web)"/>
    <w:basedOn w:val="1"/>
    <w:autoRedefine/>
    <w:qFormat/>
    <w:uiPriority w:val="0"/>
    <w:rPr>
      <w:sz w:val="24"/>
    </w:rPr>
  </w:style>
  <w:style w:type="paragraph" w:styleId="13">
    <w:name w:val="annotation subject"/>
    <w:basedOn w:val="5"/>
    <w:next w:val="5"/>
    <w:link w:val="34"/>
    <w:autoRedefine/>
    <w:qFormat/>
    <w:uiPriority w:val="0"/>
    <w:rPr>
      <w:b/>
      <w:bCs/>
    </w:rPr>
  </w:style>
  <w:style w:type="table" w:styleId="15">
    <w:name w:val="Table Grid"/>
    <w:basedOn w:val="14"/>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autoRedefine/>
    <w:qFormat/>
    <w:uiPriority w:val="0"/>
    <w:rPr>
      <w:color w:val="0000FF"/>
      <w:u w:val="single"/>
    </w:rPr>
  </w:style>
  <w:style w:type="character" w:styleId="18">
    <w:name w:val="annotation reference"/>
    <w:basedOn w:val="16"/>
    <w:autoRedefine/>
    <w:qFormat/>
    <w:uiPriority w:val="0"/>
    <w:rPr>
      <w:sz w:val="21"/>
      <w:szCs w:val="21"/>
    </w:rPr>
  </w:style>
  <w:style w:type="paragraph" w:customStyle="1" w:styleId="19">
    <w:name w:val="表格2"/>
    <w:link w:val="2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0">
    <w:name w:val="页眉 字符"/>
    <w:basedOn w:val="16"/>
    <w:link w:val="9"/>
    <w:autoRedefine/>
    <w:qFormat/>
    <w:uiPriority w:val="0"/>
    <w:rPr>
      <w:kern w:val="2"/>
      <w:sz w:val="18"/>
      <w:szCs w:val="18"/>
    </w:rPr>
  </w:style>
  <w:style w:type="character" w:customStyle="1" w:styleId="21">
    <w:name w:val="页脚 字符"/>
    <w:basedOn w:val="16"/>
    <w:link w:val="8"/>
    <w:autoRedefine/>
    <w:qFormat/>
    <w:uiPriority w:val="0"/>
    <w:rPr>
      <w:kern w:val="2"/>
      <w:sz w:val="18"/>
      <w:szCs w:val="18"/>
    </w:rPr>
  </w:style>
  <w:style w:type="character" w:customStyle="1" w:styleId="22">
    <w:name w:val="表格2 Char"/>
    <w:link w:val="19"/>
    <w:autoRedefine/>
    <w:qFormat/>
    <w:uiPriority w:val="0"/>
    <w:rPr>
      <w:rFonts w:ascii="Calibri" w:hAnsi="Calibri" w:eastAsia="宋体" w:cs="Times New Roman"/>
      <w:kern w:val="2"/>
      <w:sz w:val="21"/>
      <w:szCs w:val="22"/>
    </w:rPr>
  </w:style>
  <w:style w:type="paragraph" w:styleId="23">
    <w:name w:val="List Paragraph"/>
    <w:basedOn w:val="1"/>
    <w:autoRedefine/>
    <w:qFormat/>
    <w:uiPriority w:val="99"/>
    <w:pPr>
      <w:ind w:firstLine="420" w:firstLineChars="200"/>
    </w:pPr>
  </w:style>
  <w:style w:type="paragraph" w:customStyle="1" w:styleId="24">
    <w:name w:val="表格中的样式"/>
    <w:basedOn w:val="1"/>
    <w:link w:val="25"/>
    <w:autoRedefine/>
    <w:qFormat/>
    <w:uiPriority w:val="0"/>
    <w:pPr>
      <w:jc w:val="left"/>
    </w:pPr>
    <w:rPr>
      <w:rFonts w:ascii="宋体" w:hAnsi="宋体"/>
      <w:szCs w:val="21"/>
    </w:rPr>
  </w:style>
  <w:style w:type="character" w:customStyle="1" w:styleId="25">
    <w:name w:val="表格中的样式 Char"/>
    <w:basedOn w:val="16"/>
    <w:link w:val="24"/>
    <w:autoRedefine/>
    <w:qFormat/>
    <w:uiPriority w:val="0"/>
    <w:rPr>
      <w:rFonts w:ascii="宋体" w:hAnsi="宋体"/>
      <w:kern w:val="2"/>
      <w:sz w:val="21"/>
      <w:szCs w:val="21"/>
    </w:rPr>
  </w:style>
  <w:style w:type="character" w:customStyle="1" w:styleId="26">
    <w:name w:val="表格样式 Char"/>
    <w:link w:val="27"/>
    <w:autoRedefine/>
    <w:qFormat/>
    <w:uiPriority w:val="0"/>
    <w:rPr>
      <w:rFonts w:ascii="宋体" w:hAnsi="宋体" w:eastAsia="宋体"/>
      <w:szCs w:val="21"/>
      <w:lang w:eastAsia="en-US" w:bidi="en-US"/>
    </w:rPr>
  </w:style>
  <w:style w:type="paragraph" w:customStyle="1" w:styleId="27">
    <w:name w:val="表格样式"/>
    <w:basedOn w:val="1"/>
    <w:link w:val="26"/>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28">
    <w:name w:val="标题二2（楷体标题）"/>
    <w:basedOn w:val="1"/>
    <w:autoRedefine/>
    <w:qFormat/>
    <w:uiPriority w:val="0"/>
    <w:pPr>
      <w:spacing w:line="560" w:lineRule="exact"/>
      <w:jc w:val="center"/>
    </w:pPr>
    <w:rPr>
      <w:rFonts w:ascii="宋体" w:hAnsi="宋体" w:cs="宋体"/>
      <w:sz w:val="28"/>
      <w:szCs w:val="28"/>
    </w:rPr>
  </w:style>
  <w:style w:type="character" w:customStyle="1" w:styleId="29">
    <w:name w:val="fontstyle01"/>
    <w:autoRedefine/>
    <w:qFormat/>
    <w:uiPriority w:val="0"/>
    <w:rPr>
      <w:rFonts w:hint="default" w:ascii="FZSSK--GBK1-0" w:hAnsi="FZSSK--GBK1-0"/>
      <w:color w:val="000000"/>
      <w:sz w:val="24"/>
      <w:szCs w:val="24"/>
    </w:rPr>
  </w:style>
  <w:style w:type="character" w:customStyle="1" w:styleId="30">
    <w:name w:val="font31"/>
    <w:basedOn w:val="16"/>
    <w:autoRedefine/>
    <w:qFormat/>
    <w:uiPriority w:val="0"/>
    <w:rPr>
      <w:rFonts w:hint="default" w:ascii="仿宋_GB2312" w:eastAsia="仿宋_GB2312" w:cs="仿宋_GB2312"/>
      <w:color w:val="000000"/>
      <w:sz w:val="21"/>
      <w:szCs w:val="21"/>
      <w:u w:val="none"/>
    </w:rPr>
  </w:style>
  <w:style w:type="character" w:customStyle="1" w:styleId="31">
    <w:name w:val="font81"/>
    <w:basedOn w:val="16"/>
    <w:autoRedefine/>
    <w:qFormat/>
    <w:uiPriority w:val="0"/>
    <w:rPr>
      <w:rFonts w:hint="default" w:ascii="仿宋_GB2312" w:eastAsia="仿宋_GB2312" w:cs="仿宋_GB2312"/>
      <w:color w:val="000000"/>
      <w:sz w:val="20"/>
      <w:szCs w:val="20"/>
      <w:u w:val="none"/>
    </w:rPr>
  </w:style>
  <w:style w:type="character" w:customStyle="1" w:styleId="32">
    <w:name w:val="批注框文本 字符"/>
    <w:basedOn w:val="16"/>
    <w:link w:val="7"/>
    <w:autoRedefine/>
    <w:qFormat/>
    <w:uiPriority w:val="0"/>
    <w:rPr>
      <w:rFonts w:asciiTheme="minorHAnsi" w:hAnsiTheme="minorHAnsi" w:eastAsiaTheme="minorEastAsia" w:cstheme="minorBidi"/>
      <w:kern w:val="2"/>
      <w:sz w:val="18"/>
      <w:szCs w:val="18"/>
    </w:rPr>
  </w:style>
  <w:style w:type="character" w:customStyle="1" w:styleId="33">
    <w:name w:val="批注文字 字符"/>
    <w:basedOn w:val="16"/>
    <w:link w:val="5"/>
    <w:autoRedefine/>
    <w:qFormat/>
    <w:uiPriority w:val="0"/>
    <w:rPr>
      <w:rFonts w:asciiTheme="minorHAnsi" w:hAnsiTheme="minorHAnsi" w:eastAsiaTheme="minorEastAsia" w:cstheme="minorBidi"/>
      <w:kern w:val="2"/>
      <w:sz w:val="21"/>
      <w:szCs w:val="24"/>
    </w:rPr>
  </w:style>
  <w:style w:type="character" w:customStyle="1" w:styleId="34">
    <w:name w:val="批注主题 字符"/>
    <w:basedOn w:val="33"/>
    <w:link w:val="13"/>
    <w:autoRedefine/>
    <w:qFormat/>
    <w:uiPriority w:val="0"/>
    <w:rPr>
      <w:rFonts w:asciiTheme="minorHAnsi" w:hAnsiTheme="minorHAnsi" w:eastAsiaTheme="minorEastAsia" w:cstheme="minorBidi"/>
      <w:b/>
      <w:bCs/>
      <w:kern w:val="2"/>
      <w:sz w:val="21"/>
      <w:szCs w:val="24"/>
    </w:rPr>
  </w:style>
  <w:style w:type="character" w:customStyle="1" w:styleId="35">
    <w:name w:val="标题 1 字符"/>
    <w:basedOn w:val="16"/>
    <w:link w:val="3"/>
    <w:autoRedefine/>
    <w:qFormat/>
    <w:uiPriority w:val="0"/>
    <w:rPr>
      <w:rFonts w:asciiTheme="minorHAnsi" w:hAnsiTheme="minorHAnsi" w:eastAsiaTheme="minorEastAsia" w:cstheme="minorBidi"/>
      <w:b/>
      <w:bCs/>
      <w:kern w:val="44"/>
      <w:sz w:val="44"/>
      <w:szCs w:val="44"/>
    </w:rPr>
  </w:style>
  <w:style w:type="character" w:customStyle="1" w:styleId="36">
    <w:name w:val="正文文本缩进 2 字符"/>
    <w:basedOn w:val="16"/>
    <w:link w:val="6"/>
    <w:autoRedefine/>
    <w:qFormat/>
    <w:uiPriority w:val="99"/>
    <w:rPr>
      <w:kern w:val="2"/>
      <w:sz w:val="21"/>
      <w:szCs w:val="24"/>
    </w:rPr>
  </w:style>
  <w:style w:type="paragraph" w:customStyle="1" w:styleId="37">
    <w:name w:val="表格"/>
    <w:basedOn w:val="1"/>
    <w:link w:val="46"/>
    <w:autoRedefine/>
    <w:qFormat/>
    <w:uiPriority w:val="0"/>
    <w:pPr>
      <w:spacing w:line="260" w:lineRule="exact"/>
      <w:jc w:val="center"/>
    </w:pPr>
  </w:style>
  <w:style w:type="paragraph" w:customStyle="1" w:styleId="38">
    <w:name w:val="表头图号"/>
    <w:basedOn w:val="1"/>
    <w:next w:val="1"/>
    <w:autoRedefine/>
    <w:qFormat/>
    <w:uiPriority w:val="0"/>
    <w:pPr>
      <w:ind w:firstLine="422"/>
      <w:jc w:val="center"/>
    </w:pPr>
    <w:rPr>
      <w:rFonts w:asciiTheme="minorEastAsia" w:hAnsiTheme="minorEastAsia"/>
      <w:b/>
      <w:sz w:val="28"/>
      <w:szCs w:val="28"/>
    </w:rPr>
  </w:style>
  <w:style w:type="character" w:customStyle="1" w:styleId="39">
    <w:name w:val="font21"/>
    <w:basedOn w:val="16"/>
    <w:autoRedefine/>
    <w:qFormat/>
    <w:uiPriority w:val="0"/>
    <w:rPr>
      <w:rFonts w:hint="eastAsia" w:ascii="仿宋_GB2312" w:eastAsia="仿宋_GB2312" w:cs="仿宋_GB2312"/>
      <w:b/>
      <w:bCs/>
      <w:color w:val="000000"/>
      <w:sz w:val="21"/>
      <w:szCs w:val="21"/>
      <w:u w:val="none"/>
    </w:rPr>
  </w:style>
  <w:style w:type="character" w:customStyle="1" w:styleId="40">
    <w:name w:val="font41"/>
    <w:basedOn w:val="16"/>
    <w:autoRedefine/>
    <w:qFormat/>
    <w:uiPriority w:val="0"/>
    <w:rPr>
      <w:rFonts w:hint="eastAsia" w:ascii="仿宋_GB2312" w:eastAsia="仿宋_GB2312" w:cs="仿宋_GB2312"/>
      <w:color w:val="000000"/>
      <w:sz w:val="21"/>
      <w:szCs w:val="21"/>
      <w:u w:val="none"/>
    </w:rPr>
  </w:style>
  <w:style w:type="character" w:customStyle="1" w:styleId="41">
    <w:name w:val="font71"/>
    <w:basedOn w:val="16"/>
    <w:autoRedefine/>
    <w:qFormat/>
    <w:uiPriority w:val="0"/>
    <w:rPr>
      <w:rFonts w:hint="eastAsia" w:ascii="仿宋_GB2312" w:eastAsia="仿宋_GB2312" w:cs="仿宋_GB2312"/>
      <w:color w:val="000000"/>
      <w:sz w:val="20"/>
      <w:szCs w:val="20"/>
      <w:u w:val="none"/>
    </w:rPr>
  </w:style>
  <w:style w:type="character" w:customStyle="1" w:styleId="42">
    <w:name w:val="font51"/>
    <w:basedOn w:val="16"/>
    <w:autoRedefine/>
    <w:qFormat/>
    <w:uiPriority w:val="0"/>
    <w:rPr>
      <w:rFonts w:hint="eastAsia" w:ascii="仿宋_GB2312" w:eastAsia="仿宋_GB2312" w:cs="仿宋_GB2312"/>
      <w:color w:val="000000"/>
      <w:sz w:val="21"/>
      <w:szCs w:val="21"/>
      <w:u w:val="none"/>
    </w:rPr>
  </w:style>
  <w:style w:type="character" w:customStyle="1" w:styleId="43">
    <w:name w:val="font11"/>
    <w:basedOn w:val="16"/>
    <w:autoRedefine/>
    <w:qFormat/>
    <w:uiPriority w:val="0"/>
    <w:rPr>
      <w:rFonts w:hint="eastAsia" w:ascii="仿宋_GB2312" w:eastAsia="仿宋_GB2312" w:cs="仿宋_GB2312"/>
      <w:color w:val="000000"/>
      <w:sz w:val="21"/>
      <w:szCs w:val="21"/>
      <w:u w:val="none"/>
    </w:rPr>
  </w:style>
  <w:style w:type="paragraph" w:customStyle="1" w:styleId="44">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paragraph" w:customStyle="1" w:styleId="45">
    <w:name w:val="表格标题"/>
    <w:basedOn w:val="1"/>
    <w:autoRedefine/>
    <w:qFormat/>
    <w:uiPriority w:val="0"/>
    <w:pPr>
      <w:widowControl/>
      <w:jc w:val="center"/>
      <w:textAlignment w:val="center"/>
    </w:pPr>
    <w:rPr>
      <w:rFonts w:hint="eastAsia" w:cs="Times New Roman"/>
      <w:b/>
      <w:kern w:val="0"/>
      <w:szCs w:val="20"/>
    </w:rPr>
  </w:style>
  <w:style w:type="character" w:customStyle="1" w:styleId="46">
    <w:name w:val="表格 字符"/>
    <w:basedOn w:val="16"/>
    <w:link w:val="37"/>
    <w:autoRedefine/>
    <w:qFormat/>
    <w:uiPriority w:val="0"/>
    <w:rPr>
      <w:rFonts w:asciiTheme="minorHAnsi" w:hAnsiTheme="minorHAnsi" w:eastAsiaTheme="minorEastAsia" w:cstheme="minorBidi"/>
      <w:kern w:val="2"/>
      <w:sz w:val="21"/>
      <w:szCs w:val="24"/>
    </w:rPr>
  </w:style>
  <w:style w:type="character" w:customStyle="1" w:styleId="47">
    <w:name w:val="标题 2 字符"/>
    <w:basedOn w:val="16"/>
    <w:link w:val="2"/>
    <w:autoRedefine/>
    <w:qFormat/>
    <w:uiPriority w:val="9"/>
    <w:rPr>
      <w:rFonts w:ascii="Arial" w:hAnsi="Arial" w:eastAsiaTheme="minorEastAsia" w:cstheme="minorBidi"/>
      <w:b/>
      <w:kern w:val="2"/>
      <w:sz w:val="21"/>
      <w:szCs w:val="24"/>
    </w:rPr>
  </w:style>
  <w:style w:type="paragraph" w:customStyle="1" w:styleId="48">
    <w:name w:val="msonormal"/>
    <w:basedOn w:val="1"/>
    <w:autoRedefine/>
    <w:qFormat/>
    <w:uiPriority w:val="0"/>
    <w:pPr>
      <w:widowControl/>
      <w:spacing w:before="100" w:beforeAutospacing="1" w:after="100" w:afterAutospacing="1"/>
      <w:jc w:val="left"/>
    </w:pPr>
    <w:rPr>
      <w:rFonts w:ascii="宋体" w:hAnsi="宋体" w:eastAsia="宋体" w:cs="宋体"/>
      <w:kern w:val="0"/>
      <w:sz w:val="24"/>
    </w:rPr>
  </w:style>
  <w:style w:type="paragraph" w:customStyle="1" w:styleId="49">
    <w:name w:val="font0"/>
    <w:basedOn w:val="1"/>
    <w:autoRedefine/>
    <w:qFormat/>
    <w:uiPriority w:val="0"/>
    <w:pPr>
      <w:widowControl/>
      <w:spacing w:before="100" w:beforeAutospacing="1" w:after="100" w:afterAutospacing="1"/>
      <w:jc w:val="left"/>
    </w:pPr>
    <w:rPr>
      <w:rFonts w:ascii="宋体" w:hAnsi="宋体" w:eastAsia="宋体" w:cs="宋体"/>
      <w:color w:val="000000"/>
      <w:kern w:val="0"/>
      <w:sz w:val="22"/>
      <w:szCs w:val="22"/>
    </w:rPr>
  </w:style>
  <w:style w:type="paragraph" w:customStyle="1" w:styleId="50">
    <w:name w:val="font1"/>
    <w:basedOn w:val="1"/>
    <w:autoRedefine/>
    <w:qFormat/>
    <w:uiPriority w:val="0"/>
    <w:pPr>
      <w:widowControl/>
      <w:spacing w:before="100" w:beforeAutospacing="1" w:after="100" w:afterAutospacing="1"/>
      <w:jc w:val="left"/>
    </w:pPr>
    <w:rPr>
      <w:rFonts w:ascii="仿宋_GB2312" w:hAnsi="宋体" w:eastAsia="仿宋_GB2312" w:cs="宋体"/>
      <w:b/>
      <w:bCs/>
      <w:color w:val="000000"/>
      <w:kern w:val="0"/>
      <w:szCs w:val="21"/>
    </w:rPr>
  </w:style>
  <w:style w:type="paragraph" w:customStyle="1" w:styleId="51">
    <w:name w:val="font2"/>
    <w:basedOn w:val="1"/>
    <w:autoRedefine/>
    <w:qFormat/>
    <w:uiPriority w:val="0"/>
    <w:pPr>
      <w:widowControl/>
      <w:spacing w:before="100" w:beforeAutospacing="1" w:after="100" w:afterAutospacing="1"/>
      <w:jc w:val="left"/>
    </w:pPr>
    <w:rPr>
      <w:rFonts w:ascii="仿宋_GB2312" w:hAnsi="宋体" w:eastAsia="仿宋_GB2312" w:cs="宋体"/>
      <w:b/>
      <w:bCs/>
      <w:color w:val="000000"/>
      <w:kern w:val="0"/>
      <w:sz w:val="22"/>
      <w:szCs w:val="22"/>
    </w:rPr>
  </w:style>
  <w:style w:type="paragraph" w:customStyle="1" w:styleId="52">
    <w:name w:val="font3"/>
    <w:basedOn w:val="1"/>
    <w:autoRedefine/>
    <w:qFormat/>
    <w:uiPriority w:val="0"/>
    <w:pPr>
      <w:widowControl/>
      <w:spacing w:before="100" w:beforeAutospacing="1" w:after="100" w:afterAutospacing="1"/>
      <w:jc w:val="left"/>
    </w:pPr>
    <w:rPr>
      <w:rFonts w:ascii="仿宋_GB2312" w:hAnsi="宋体" w:eastAsia="仿宋_GB2312" w:cs="宋体"/>
      <w:color w:val="000000"/>
      <w:kern w:val="0"/>
      <w:szCs w:val="21"/>
    </w:rPr>
  </w:style>
  <w:style w:type="paragraph" w:customStyle="1" w:styleId="53">
    <w:name w:val="font4"/>
    <w:basedOn w:val="1"/>
    <w:autoRedefine/>
    <w:qFormat/>
    <w:uiPriority w:val="0"/>
    <w:pPr>
      <w:widowControl/>
      <w:spacing w:before="100" w:beforeAutospacing="1" w:after="100" w:afterAutospacing="1"/>
      <w:jc w:val="left"/>
    </w:pPr>
    <w:rPr>
      <w:rFonts w:ascii="仿宋_GB2312" w:hAnsi="宋体" w:eastAsia="仿宋_GB2312" w:cs="宋体"/>
      <w:color w:val="000000"/>
      <w:kern w:val="0"/>
      <w:sz w:val="20"/>
      <w:szCs w:val="20"/>
    </w:rPr>
  </w:style>
  <w:style w:type="paragraph" w:customStyle="1" w:styleId="54">
    <w:name w:val="font5"/>
    <w:basedOn w:val="1"/>
    <w:autoRedefine/>
    <w:qFormat/>
    <w:uiPriority w:val="0"/>
    <w:pPr>
      <w:widowControl/>
      <w:spacing w:before="100" w:beforeAutospacing="1" w:after="100" w:afterAutospacing="1"/>
      <w:jc w:val="left"/>
    </w:pPr>
    <w:rPr>
      <w:rFonts w:ascii="仿宋_GB2312" w:hAnsi="宋体" w:eastAsia="仿宋_GB2312" w:cs="宋体"/>
      <w:color w:val="000000"/>
      <w:kern w:val="0"/>
      <w:szCs w:val="21"/>
    </w:rPr>
  </w:style>
  <w:style w:type="paragraph" w:customStyle="1" w:styleId="55">
    <w:name w:val="font6"/>
    <w:basedOn w:val="1"/>
    <w:autoRedefine/>
    <w:qFormat/>
    <w:uiPriority w:val="0"/>
    <w:pPr>
      <w:widowControl/>
      <w:spacing w:before="100" w:beforeAutospacing="1" w:after="100" w:afterAutospacing="1"/>
      <w:jc w:val="left"/>
    </w:pPr>
    <w:rPr>
      <w:rFonts w:ascii="仿宋_GB2312" w:hAnsi="宋体" w:eastAsia="仿宋_GB2312" w:cs="宋体"/>
      <w:color w:val="000000"/>
      <w:kern w:val="0"/>
      <w:szCs w:val="21"/>
    </w:rPr>
  </w:style>
  <w:style w:type="paragraph" w:customStyle="1" w:styleId="56">
    <w:name w:val="font7"/>
    <w:basedOn w:val="1"/>
    <w:autoRedefine/>
    <w:qFormat/>
    <w:uiPriority w:val="0"/>
    <w:pPr>
      <w:widowControl/>
      <w:spacing w:before="100" w:beforeAutospacing="1" w:after="100" w:afterAutospacing="1"/>
      <w:jc w:val="left"/>
    </w:pPr>
    <w:rPr>
      <w:rFonts w:ascii="仿宋_GB2312" w:hAnsi="宋体" w:eastAsia="仿宋_GB2312" w:cs="宋体"/>
      <w:b/>
      <w:bCs/>
      <w:color w:val="000000"/>
      <w:kern w:val="0"/>
      <w:sz w:val="20"/>
      <w:szCs w:val="20"/>
    </w:rPr>
  </w:style>
  <w:style w:type="paragraph" w:customStyle="1" w:styleId="57">
    <w:name w:val="font8"/>
    <w:basedOn w:val="1"/>
    <w:autoRedefine/>
    <w:qFormat/>
    <w:uiPriority w:val="0"/>
    <w:pPr>
      <w:widowControl/>
      <w:spacing w:before="100" w:beforeAutospacing="1" w:after="100" w:afterAutospacing="1"/>
      <w:jc w:val="left"/>
    </w:pPr>
    <w:rPr>
      <w:rFonts w:ascii="仿宋_GB2312" w:hAnsi="宋体" w:eastAsia="仿宋_GB2312" w:cs="宋体"/>
      <w:color w:val="000000"/>
      <w:kern w:val="0"/>
      <w:sz w:val="20"/>
      <w:szCs w:val="20"/>
    </w:rPr>
  </w:style>
  <w:style w:type="paragraph" w:customStyle="1" w:styleId="58">
    <w:name w:val="font9"/>
    <w:basedOn w:val="1"/>
    <w:autoRedefine/>
    <w:qFormat/>
    <w:uiPriority w:val="0"/>
    <w:pPr>
      <w:widowControl/>
      <w:spacing w:before="100" w:beforeAutospacing="1" w:after="100" w:afterAutospacing="1"/>
      <w:jc w:val="left"/>
    </w:pPr>
    <w:rPr>
      <w:rFonts w:ascii="仿宋_GB2312" w:hAnsi="宋体" w:eastAsia="仿宋_GB2312" w:cs="宋体"/>
      <w:color w:val="000000"/>
      <w:kern w:val="0"/>
      <w:sz w:val="20"/>
      <w:szCs w:val="20"/>
    </w:rPr>
  </w:style>
  <w:style w:type="paragraph" w:customStyle="1" w:styleId="59">
    <w:name w:val="font10"/>
    <w:basedOn w:val="1"/>
    <w:autoRedefine/>
    <w:qFormat/>
    <w:uiPriority w:val="0"/>
    <w:pPr>
      <w:widowControl/>
      <w:spacing w:before="100" w:beforeAutospacing="1" w:after="100" w:afterAutospacing="1"/>
      <w:jc w:val="left"/>
    </w:pPr>
    <w:rPr>
      <w:rFonts w:ascii="仿宋_GB2312" w:hAnsi="宋体" w:eastAsia="仿宋_GB2312" w:cs="宋体"/>
      <w:color w:val="000000"/>
      <w:kern w:val="0"/>
      <w:sz w:val="22"/>
      <w:szCs w:val="22"/>
    </w:rPr>
  </w:style>
  <w:style w:type="paragraph" w:customStyle="1" w:styleId="60">
    <w:name w:val="font12"/>
    <w:basedOn w:val="1"/>
    <w:autoRedefine/>
    <w:qFormat/>
    <w:uiPriority w:val="0"/>
    <w:pPr>
      <w:widowControl/>
      <w:spacing w:before="100" w:beforeAutospacing="1" w:after="100" w:afterAutospacing="1"/>
      <w:jc w:val="left"/>
    </w:pPr>
    <w:rPr>
      <w:rFonts w:ascii="宋体" w:hAnsi="宋体" w:eastAsia="宋体" w:cs="宋体"/>
      <w:color w:val="000000"/>
      <w:kern w:val="0"/>
      <w:sz w:val="20"/>
      <w:szCs w:val="20"/>
    </w:rPr>
  </w:style>
  <w:style w:type="paragraph" w:customStyle="1" w:styleId="61">
    <w:name w:val="font13"/>
    <w:basedOn w:val="1"/>
    <w:autoRedefine/>
    <w:qFormat/>
    <w:uiPriority w:val="0"/>
    <w:pPr>
      <w:widowControl/>
      <w:spacing w:before="100" w:beforeAutospacing="1" w:after="100" w:afterAutospacing="1"/>
      <w:jc w:val="left"/>
    </w:pPr>
    <w:rPr>
      <w:rFonts w:ascii="仿宋" w:hAnsi="仿宋" w:eastAsia="仿宋" w:cs="宋体"/>
      <w:color w:val="000000"/>
      <w:kern w:val="0"/>
      <w:szCs w:val="21"/>
    </w:rPr>
  </w:style>
  <w:style w:type="paragraph" w:customStyle="1" w:styleId="62">
    <w:name w:val="font14"/>
    <w:basedOn w:val="1"/>
    <w:autoRedefine/>
    <w:qFormat/>
    <w:uiPriority w:val="0"/>
    <w:pPr>
      <w:widowControl/>
      <w:spacing w:before="100" w:beforeAutospacing="1" w:after="100" w:afterAutospacing="1"/>
      <w:jc w:val="left"/>
    </w:pPr>
    <w:rPr>
      <w:rFonts w:ascii="仿宋_GB2312" w:hAnsi="宋体" w:eastAsia="仿宋_GB2312" w:cs="宋体"/>
      <w:b/>
      <w:bCs/>
      <w:color w:val="000000"/>
      <w:kern w:val="0"/>
      <w:szCs w:val="21"/>
    </w:rPr>
  </w:style>
  <w:style w:type="paragraph" w:customStyle="1" w:styleId="63">
    <w:name w:val="font15"/>
    <w:basedOn w:val="1"/>
    <w:autoRedefine/>
    <w:qFormat/>
    <w:uiPriority w:val="0"/>
    <w:pPr>
      <w:widowControl/>
      <w:spacing w:before="100" w:beforeAutospacing="1" w:after="100" w:afterAutospacing="1"/>
      <w:jc w:val="left"/>
    </w:pPr>
    <w:rPr>
      <w:rFonts w:ascii="仿宋_GB2312" w:hAnsi="宋体" w:eastAsia="仿宋_GB2312" w:cs="宋体"/>
      <w:b/>
      <w:bCs/>
      <w:color w:val="000000"/>
      <w:kern w:val="0"/>
      <w:sz w:val="24"/>
    </w:rPr>
  </w:style>
  <w:style w:type="paragraph" w:customStyle="1" w:styleId="64">
    <w:name w:val="font16"/>
    <w:basedOn w:val="1"/>
    <w:autoRedefine/>
    <w:qFormat/>
    <w:uiPriority w:val="0"/>
    <w:pPr>
      <w:widowControl/>
      <w:spacing w:before="100" w:beforeAutospacing="1" w:after="100" w:afterAutospacing="1"/>
      <w:jc w:val="left"/>
    </w:pPr>
    <w:rPr>
      <w:rFonts w:ascii="仿宋_GB2312" w:hAnsi="宋体" w:eastAsia="仿宋_GB2312" w:cs="宋体"/>
      <w:color w:val="000000"/>
      <w:kern w:val="0"/>
      <w:sz w:val="22"/>
      <w:szCs w:val="22"/>
    </w:rPr>
  </w:style>
  <w:style w:type="paragraph" w:customStyle="1" w:styleId="65">
    <w:name w:val="et3"/>
    <w:basedOn w:val="1"/>
    <w:autoRedefine/>
    <w:qFormat/>
    <w:uiPriority w:val="0"/>
    <w:pPr>
      <w:widowControl/>
      <w:spacing w:before="100" w:beforeAutospacing="1" w:after="100" w:afterAutospacing="1"/>
      <w:jc w:val="left"/>
    </w:pPr>
    <w:rPr>
      <w:rFonts w:ascii="宋体" w:hAnsi="宋体" w:eastAsia="宋体" w:cs="宋体"/>
      <w:kern w:val="0"/>
      <w:sz w:val="24"/>
    </w:rPr>
  </w:style>
  <w:style w:type="paragraph" w:customStyle="1" w:styleId="66">
    <w:name w:val="et4"/>
    <w:basedOn w:val="1"/>
    <w:autoRedefine/>
    <w:qFormat/>
    <w:uiPriority w:val="0"/>
    <w:pPr>
      <w:widowControl/>
      <w:pBdr>
        <w:top w:val="single" w:color="000000" w:sz="4" w:space="0"/>
        <w:left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67">
    <w:name w:val="et5"/>
    <w:basedOn w:val="1"/>
    <w:autoRedefine/>
    <w:qFormat/>
    <w:uiPriority w:val="0"/>
    <w:pPr>
      <w:widowControl/>
      <w:pBdr>
        <w:top w:val="single" w:color="000000" w:sz="4" w:space="0"/>
        <w:right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68">
    <w:name w:val="et6"/>
    <w:basedOn w:val="1"/>
    <w:autoRedefine/>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69">
    <w:name w:val="et7"/>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 w:val="24"/>
    </w:rPr>
  </w:style>
  <w:style w:type="paragraph" w:customStyle="1" w:styleId="70">
    <w:name w:val="et8"/>
    <w:basedOn w:val="1"/>
    <w:autoRedefine/>
    <w:qFormat/>
    <w:uiPriority w:val="0"/>
    <w:pPr>
      <w:widowControl/>
      <w:pBdr>
        <w:left w:val="single" w:color="000000" w:sz="4" w:space="0"/>
        <w:bottom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71">
    <w:name w:val="et9"/>
    <w:basedOn w:val="1"/>
    <w:autoRedefine/>
    <w:qFormat/>
    <w:uiPriority w:val="0"/>
    <w:pPr>
      <w:widowControl/>
      <w:pBdr>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72">
    <w:name w:val="et10"/>
    <w:basedOn w:val="1"/>
    <w:autoRedefine/>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73">
    <w:name w:val="et11"/>
    <w:basedOn w:val="1"/>
    <w:autoRedefine/>
    <w:qFormat/>
    <w:uiPriority w:val="0"/>
    <w:pPr>
      <w:widowControl/>
      <w:pBdr>
        <w:lef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74">
    <w:name w:val="et12"/>
    <w:basedOn w:val="1"/>
    <w:autoRedefine/>
    <w:qFormat/>
    <w:uiPriority w:val="0"/>
    <w:pPr>
      <w:widowControl/>
      <w:pBdr>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75">
    <w:name w:val="et13"/>
    <w:basedOn w:val="1"/>
    <w:autoRedefine/>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76">
    <w:name w:val="et14"/>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kern w:val="0"/>
      <w:szCs w:val="21"/>
    </w:rPr>
  </w:style>
  <w:style w:type="paragraph" w:customStyle="1" w:styleId="77">
    <w:name w:val="et15"/>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78">
    <w:name w:val="et16"/>
    <w:basedOn w:val="1"/>
    <w:autoRedefine/>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color w:val="000000"/>
      <w:kern w:val="0"/>
      <w:szCs w:val="21"/>
    </w:rPr>
  </w:style>
  <w:style w:type="paragraph" w:customStyle="1" w:styleId="79">
    <w:name w:val="et17"/>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color w:val="000000"/>
      <w:kern w:val="0"/>
      <w:szCs w:val="21"/>
    </w:rPr>
  </w:style>
  <w:style w:type="paragraph" w:customStyle="1" w:styleId="80">
    <w:name w:val="et18"/>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81">
    <w:name w:val="et19"/>
    <w:basedOn w:val="1"/>
    <w:autoRedefine/>
    <w:qFormat/>
    <w:uiPriority w:val="0"/>
    <w:pPr>
      <w:widowControl/>
      <w:pBdr>
        <w:top w:val="single" w:color="000000" w:sz="4" w:space="0"/>
        <w:left w:val="single" w:color="000000" w:sz="4" w:space="0"/>
        <w:right w:val="single" w:color="000000" w:sz="4" w:space="0"/>
      </w:pBdr>
      <w:spacing w:before="100" w:beforeAutospacing="1" w:after="100" w:afterAutospacing="1"/>
      <w:jc w:val="left"/>
    </w:pPr>
    <w:rPr>
      <w:rFonts w:ascii="仿宋_GB2312" w:hAnsi="宋体" w:eastAsia="仿宋_GB2312" w:cs="宋体"/>
      <w:kern w:val="0"/>
      <w:szCs w:val="21"/>
    </w:rPr>
  </w:style>
  <w:style w:type="paragraph" w:customStyle="1" w:styleId="82">
    <w:name w:val="et20"/>
    <w:basedOn w:val="1"/>
    <w:autoRedefine/>
    <w:qFormat/>
    <w:uiPriority w:val="0"/>
    <w:pPr>
      <w:widowControl/>
      <w:pBdr>
        <w:left w:val="single" w:color="000000" w:sz="4" w:space="0"/>
        <w:bottom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83">
    <w:name w:val="et21"/>
    <w:basedOn w:val="1"/>
    <w:autoRedefine/>
    <w:qFormat/>
    <w:uiPriority w:val="0"/>
    <w:pPr>
      <w:widowControl/>
      <w:pBdr>
        <w:bottom w:val="single" w:color="000000" w:sz="4" w:space="0"/>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84">
    <w:name w:val="et22"/>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85">
    <w:name w:val="et23"/>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b/>
      <w:bCs/>
      <w:kern w:val="0"/>
      <w:szCs w:val="21"/>
    </w:rPr>
  </w:style>
  <w:style w:type="paragraph" w:customStyle="1" w:styleId="86">
    <w:name w:val="et24"/>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 w:val="20"/>
      <w:szCs w:val="20"/>
    </w:rPr>
  </w:style>
  <w:style w:type="paragraph" w:customStyle="1" w:styleId="87">
    <w:name w:val="et25"/>
    <w:basedOn w:val="1"/>
    <w:autoRedefine/>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88">
    <w:name w:val="et26"/>
    <w:basedOn w:val="1"/>
    <w:autoRedefine/>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89">
    <w:name w:val="et27"/>
    <w:basedOn w:val="1"/>
    <w:autoRedefine/>
    <w:qFormat/>
    <w:uiPriority w:val="0"/>
    <w:pPr>
      <w:widowControl/>
      <w:pBdr>
        <w:left w:val="single" w:color="000000" w:sz="4" w:space="0"/>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90">
    <w:name w:val="et28"/>
    <w:basedOn w:val="1"/>
    <w:autoRedefine/>
    <w:qFormat/>
    <w:uiPriority w:val="0"/>
    <w:pPr>
      <w:widowControl/>
      <w:pBdr>
        <w:left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91">
    <w:name w:val="et29"/>
    <w:basedOn w:val="1"/>
    <w:autoRedefine/>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92">
    <w:name w:val="et30"/>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kern w:val="0"/>
      <w:szCs w:val="21"/>
    </w:rPr>
  </w:style>
  <w:style w:type="paragraph" w:customStyle="1" w:styleId="93">
    <w:name w:val="et31"/>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kern w:val="0"/>
      <w:szCs w:val="21"/>
    </w:rPr>
  </w:style>
  <w:style w:type="paragraph" w:customStyle="1" w:styleId="94">
    <w:name w:val="et32"/>
    <w:basedOn w:val="1"/>
    <w:autoRedefine/>
    <w:qFormat/>
    <w:uiPriority w:val="0"/>
    <w:pPr>
      <w:widowControl/>
      <w:pBdr>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b/>
      <w:bCs/>
      <w:kern w:val="0"/>
      <w:szCs w:val="21"/>
    </w:rPr>
  </w:style>
  <w:style w:type="paragraph" w:customStyle="1" w:styleId="95">
    <w:name w:val="et33"/>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color w:val="000000"/>
      <w:kern w:val="0"/>
      <w:szCs w:val="21"/>
    </w:rPr>
  </w:style>
  <w:style w:type="paragraph" w:customStyle="1" w:styleId="96">
    <w:name w:val="et34"/>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color w:val="000000"/>
      <w:kern w:val="0"/>
      <w:sz w:val="20"/>
      <w:szCs w:val="20"/>
    </w:rPr>
  </w:style>
  <w:style w:type="paragraph" w:customStyle="1" w:styleId="97">
    <w:name w:val="et35"/>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textAlignment w:val="top"/>
    </w:pPr>
    <w:rPr>
      <w:rFonts w:ascii="仿宋_GB2312" w:hAnsi="宋体" w:eastAsia="仿宋_GB2312" w:cs="宋体"/>
      <w:kern w:val="0"/>
      <w:szCs w:val="21"/>
    </w:rPr>
  </w:style>
  <w:style w:type="paragraph" w:customStyle="1" w:styleId="98">
    <w:name w:val="et36"/>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textAlignment w:val="top"/>
    </w:pPr>
    <w:rPr>
      <w:rFonts w:ascii="仿宋_GB2312" w:hAnsi="宋体" w:eastAsia="仿宋_GB2312" w:cs="宋体"/>
      <w:kern w:val="0"/>
      <w:sz w:val="20"/>
      <w:szCs w:val="20"/>
    </w:rPr>
  </w:style>
  <w:style w:type="paragraph" w:customStyle="1" w:styleId="99">
    <w:name w:val="et37"/>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color w:val="000000"/>
      <w:kern w:val="0"/>
      <w:sz w:val="20"/>
      <w:szCs w:val="20"/>
    </w:rPr>
  </w:style>
  <w:style w:type="paragraph" w:customStyle="1" w:styleId="100">
    <w:name w:val="et38"/>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color w:val="000000"/>
      <w:kern w:val="0"/>
      <w:sz w:val="24"/>
    </w:rPr>
  </w:style>
  <w:style w:type="paragraph" w:customStyle="1" w:styleId="101">
    <w:name w:val="et39"/>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kern w:val="0"/>
      <w:sz w:val="20"/>
      <w:szCs w:val="20"/>
    </w:rPr>
  </w:style>
  <w:style w:type="paragraph" w:customStyle="1" w:styleId="102">
    <w:name w:val="et40"/>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宋体" w:hAnsi="宋体" w:eastAsia="宋体" w:cs="宋体"/>
      <w:kern w:val="0"/>
      <w:sz w:val="24"/>
    </w:rPr>
  </w:style>
  <w:style w:type="paragraph" w:customStyle="1" w:styleId="103">
    <w:name w:val="et41"/>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color w:val="000000"/>
      <w:kern w:val="0"/>
      <w:sz w:val="20"/>
      <w:szCs w:val="20"/>
    </w:rPr>
  </w:style>
  <w:style w:type="paragraph" w:customStyle="1" w:styleId="104">
    <w:name w:val="et42"/>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color w:val="000000"/>
      <w:kern w:val="0"/>
      <w:sz w:val="24"/>
    </w:rPr>
  </w:style>
  <w:style w:type="paragraph" w:customStyle="1" w:styleId="105">
    <w:name w:val="et43"/>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06">
    <w:name w:val="et44"/>
    <w:basedOn w:val="1"/>
    <w:autoRedefine/>
    <w:qFormat/>
    <w:uiPriority w:val="0"/>
    <w:pPr>
      <w:widowControl/>
      <w:pBdr>
        <w:top w:val="single" w:color="000000" w:sz="4" w:space="0"/>
        <w:left w:val="single" w:color="000000" w:sz="4" w:space="0"/>
        <w:bottom w:val="single" w:color="000000" w:sz="4" w:space="0"/>
      </w:pBdr>
      <w:spacing w:before="100" w:beforeAutospacing="1" w:after="100" w:afterAutospacing="1"/>
      <w:jc w:val="center"/>
    </w:pPr>
    <w:rPr>
      <w:rFonts w:ascii="仿宋_GB2312" w:hAnsi="宋体" w:eastAsia="仿宋_GB2312" w:cs="宋体"/>
      <w:b/>
      <w:bCs/>
      <w:kern w:val="0"/>
      <w:szCs w:val="21"/>
    </w:rPr>
  </w:style>
  <w:style w:type="paragraph" w:customStyle="1" w:styleId="107">
    <w:name w:val="et45"/>
    <w:basedOn w:val="1"/>
    <w:autoRedefine/>
    <w:qFormat/>
    <w:uiPriority w:val="0"/>
    <w:pPr>
      <w:widowControl/>
      <w:pBdr>
        <w:top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b/>
      <w:bCs/>
      <w:kern w:val="0"/>
      <w:szCs w:val="21"/>
    </w:rPr>
  </w:style>
  <w:style w:type="paragraph" w:customStyle="1" w:styleId="108">
    <w:name w:val="et46"/>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textAlignment w:val="top"/>
    </w:pPr>
    <w:rPr>
      <w:rFonts w:ascii="仿宋_GB2312" w:hAnsi="宋体" w:eastAsia="仿宋_GB2312" w:cs="宋体"/>
      <w:b/>
      <w:bCs/>
      <w:kern w:val="0"/>
      <w:sz w:val="20"/>
      <w:szCs w:val="20"/>
    </w:rPr>
  </w:style>
  <w:style w:type="paragraph" w:customStyle="1" w:styleId="109">
    <w:name w:val="et47"/>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eastAsia="仿宋_GB2312" w:cs="宋体"/>
      <w:kern w:val="0"/>
      <w:szCs w:val="21"/>
    </w:rPr>
  </w:style>
  <w:style w:type="paragraph" w:customStyle="1" w:styleId="110">
    <w:name w:val="et48"/>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kern w:val="0"/>
      <w:szCs w:val="21"/>
    </w:rPr>
  </w:style>
  <w:style w:type="paragraph" w:customStyle="1" w:styleId="111">
    <w:name w:val="et49"/>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0"/>
      <w:szCs w:val="20"/>
    </w:rPr>
  </w:style>
  <w:style w:type="paragraph" w:customStyle="1" w:styleId="112">
    <w:name w:val="et50"/>
    <w:basedOn w:val="1"/>
    <w:autoRedefine/>
    <w:qFormat/>
    <w:uiPriority w:val="0"/>
    <w:pPr>
      <w:widowControl/>
      <w:pBdr>
        <w:top w:val="single" w:color="000000" w:sz="4" w:space="0"/>
        <w:lef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13">
    <w:name w:val="et51"/>
    <w:basedOn w:val="1"/>
    <w:autoRedefine/>
    <w:qFormat/>
    <w:uiPriority w:val="0"/>
    <w:pPr>
      <w:widowControl/>
      <w:pBdr>
        <w:top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14">
    <w:name w:val="et52"/>
    <w:basedOn w:val="1"/>
    <w:autoRedefine/>
    <w:qFormat/>
    <w:uiPriority w:val="0"/>
    <w:pPr>
      <w:widowControl/>
      <w:pBdr>
        <w:lef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15">
    <w:name w:val="et53"/>
    <w:basedOn w:val="1"/>
    <w:autoRedefine/>
    <w:qFormat/>
    <w:uiPriority w:val="0"/>
    <w:pPr>
      <w:widowControl/>
      <w:spacing w:before="100" w:beforeAutospacing="1" w:after="100" w:afterAutospacing="1"/>
      <w:jc w:val="center"/>
    </w:pPr>
    <w:rPr>
      <w:rFonts w:ascii="仿宋_GB2312" w:hAnsi="宋体" w:eastAsia="仿宋_GB2312" w:cs="宋体"/>
      <w:kern w:val="0"/>
      <w:sz w:val="20"/>
      <w:szCs w:val="20"/>
    </w:rPr>
  </w:style>
  <w:style w:type="paragraph" w:customStyle="1" w:styleId="116">
    <w:name w:val="et54"/>
    <w:basedOn w:val="1"/>
    <w:autoRedefine/>
    <w:qFormat/>
    <w:uiPriority w:val="0"/>
    <w:pPr>
      <w:widowControl/>
      <w:pBdr>
        <w:left w:val="single" w:color="000000" w:sz="4" w:space="0"/>
        <w:bottom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17">
    <w:name w:val="et55"/>
    <w:basedOn w:val="1"/>
    <w:autoRedefine/>
    <w:qFormat/>
    <w:uiPriority w:val="0"/>
    <w:pPr>
      <w:widowControl/>
      <w:pBdr>
        <w:bottom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18">
    <w:name w:val="et56"/>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eastAsia="仿宋_GB2312" w:cs="宋体"/>
      <w:b/>
      <w:bCs/>
      <w:kern w:val="0"/>
      <w:sz w:val="20"/>
      <w:szCs w:val="20"/>
    </w:rPr>
  </w:style>
  <w:style w:type="paragraph" w:customStyle="1" w:styleId="119">
    <w:name w:val="et58"/>
    <w:basedOn w:val="1"/>
    <w:autoRedefine/>
    <w:qFormat/>
    <w:uiPriority w:val="0"/>
    <w:pPr>
      <w:widowControl/>
      <w:pBdr>
        <w:top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20">
    <w:name w:val="et59"/>
    <w:basedOn w:val="1"/>
    <w:autoRedefine/>
    <w:qFormat/>
    <w:uiPriority w:val="0"/>
    <w:pPr>
      <w:widowControl/>
      <w:pBdr>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21">
    <w:name w:val="et60"/>
    <w:basedOn w:val="1"/>
    <w:autoRedefine/>
    <w:qFormat/>
    <w:uiPriority w:val="0"/>
    <w:pPr>
      <w:widowControl/>
      <w:pBdr>
        <w:bottom w:val="single" w:color="000000" w:sz="4" w:space="0"/>
        <w:right w:val="single" w:color="000000" w:sz="4" w:space="0"/>
      </w:pBdr>
      <w:spacing w:before="100" w:beforeAutospacing="1" w:after="100" w:afterAutospacing="1"/>
      <w:jc w:val="center"/>
    </w:pPr>
    <w:rPr>
      <w:rFonts w:ascii="仿宋_GB2312" w:hAnsi="宋体" w:eastAsia="仿宋_GB2312" w:cs="宋体"/>
      <w:kern w:val="0"/>
      <w:sz w:val="20"/>
      <w:szCs w:val="20"/>
    </w:rPr>
  </w:style>
  <w:style w:type="paragraph" w:customStyle="1" w:styleId="122">
    <w:name w:val="et61"/>
    <w:basedOn w:val="1"/>
    <w:autoRedefine/>
    <w:qFormat/>
    <w:uiPriority w:val="0"/>
    <w:pPr>
      <w:widowControl/>
      <w:pBdr>
        <w:left w:val="single" w:color="000000" w:sz="4" w:space="0"/>
        <w:right w:val="single" w:color="000000" w:sz="4" w:space="0"/>
      </w:pBdr>
      <w:spacing w:before="100" w:beforeAutospacing="1" w:after="100" w:afterAutospacing="1"/>
      <w:jc w:val="left"/>
    </w:pPr>
    <w:rPr>
      <w:rFonts w:ascii="仿宋_GB2312" w:hAnsi="宋体" w:eastAsia="仿宋_GB2312" w:cs="宋体"/>
      <w:kern w:val="0"/>
      <w:szCs w:val="21"/>
    </w:rPr>
  </w:style>
  <w:style w:type="paragraph" w:customStyle="1" w:styleId="123">
    <w:name w:val="et62"/>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 w:hAnsi="仿宋" w:eastAsia="仿宋" w:cs="宋体"/>
      <w:kern w:val="0"/>
      <w:szCs w:val="21"/>
    </w:rPr>
  </w:style>
  <w:style w:type="paragraph" w:customStyle="1" w:styleId="124">
    <w:name w:val="et63"/>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 w:hAnsi="仿宋" w:eastAsia="仿宋" w:cs="宋体"/>
      <w:kern w:val="0"/>
      <w:szCs w:val="21"/>
    </w:rPr>
  </w:style>
  <w:style w:type="paragraph" w:customStyle="1" w:styleId="125">
    <w:name w:val="et64"/>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 w:hAnsi="仿宋" w:eastAsia="仿宋" w:cs="宋体"/>
      <w:kern w:val="0"/>
      <w:szCs w:val="21"/>
    </w:rPr>
  </w:style>
  <w:style w:type="paragraph" w:customStyle="1" w:styleId="126">
    <w:name w:val="et65"/>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color w:val="000000"/>
      <w:kern w:val="0"/>
      <w:szCs w:val="21"/>
    </w:rPr>
  </w:style>
  <w:style w:type="paragraph" w:customStyle="1" w:styleId="127">
    <w:name w:val="et66"/>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b/>
      <w:bCs/>
      <w:color w:val="000000"/>
      <w:kern w:val="0"/>
      <w:szCs w:val="21"/>
    </w:rPr>
  </w:style>
  <w:style w:type="paragraph" w:customStyle="1" w:styleId="128">
    <w:name w:val="et67"/>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 w:val="20"/>
      <w:szCs w:val="20"/>
    </w:rPr>
  </w:style>
  <w:style w:type="paragraph" w:customStyle="1" w:styleId="129">
    <w:name w:val="et68"/>
    <w:basedOn w:val="1"/>
    <w:autoRedefine/>
    <w:qFormat/>
    <w:uiPriority w:val="0"/>
    <w:pPr>
      <w:widowControl/>
      <w:pBdr>
        <w:top w:val="single" w:color="000000" w:sz="4" w:space="0"/>
        <w:left w:val="single" w:color="000000" w:sz="4" w:space="0"/>
        <w:bottom w:val="single" w:color="000000" w:sz="4" w:space="0"/>
      </w:pBdr>
      <w:spacing w:before="100" w:beforeAutospacing="1" w:after="100" w:afterAutospacing="1"/>
      <w:jc w:val="center"/>
    </w:pPr>
    <w:rPr>
      <w:rFonts w:ascii="仿宋_GB2312" w:hAnsi="宋体" w:eastAsia="仿宋_GB2312" w:cs="宋体"/>
      <w:b/>
      <w:bCs/>
      <w:kern w:val="0"/>
      <w:sz w:val="24"/>
    </w:rPr>
  </w:style>
  <w:style w:type="paragraph" w:customStyle="1" w:styleId="130">
    <w:name w:val="et69"/>
    <w:basedOn w:val="1"/>
    <w:autoRedefine/>
    <w:qFormat/>
    <w:uiPriority w:val="0"/>
    <w:pPr>
      <w:widowControl/>
      <w:pBdr>
        <w:top w:val="single" w:color="000000" w:sz="4" w:space="0"/>
        <w:bottom w:val="single" w:color="000000" w:sz="4" w:space="0"/>
      </w:pBdr>
      <w:spacing w:before="100" w:beforeAutospacing="1" w:after="100" w:afterAutospacing="1"/>
      <w:jc w:val="center"/>
    </w:pPr>
    <w:rPr>
      <w:rFonts w:ascii="仿宋_GB2312" w:hAnsi="宋体" w:eastAsia="仿宋_GB2312" w:cs="宋体"/>
      <w:b/>
      <w:bCs/>
      <w:kern w:val="0"/>
      <w:sz w:val="24"/>
    </w:rPr>
  </w:style>
  <w:style w:type="paragraph" w:customStyle="1" w:styleId="131">
    <w:name w:val="et70"/>
    <w:basedOn w:val="1"/>
    <w:autoRedefine/>
    <w:qFormat/>
    <w:uiPriority w:val="0"/>
    <w:pPr>
      <w:widowControl/>
      <w:pBdr>
        <w:top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b/>
      <w:bCs/>
      <w:kern w:val="0"/>
      <w:sz w:val="24"/>
    </w:rPr>
  </w:style>
  <w:style w:type="paragraph" w:customStyle="1" w:styleId="132">
    <w:name w:val="et71"/>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eastAsia="仿宋_GB2312" w:cs="宋体"/>
      <w:b/>
      <w:bCs/>
      <w:kern w:val="0"/>
      <w:sz w:val="24"/>
    </w:rPr>
  </w:style>
  <w:style w:type="paragraph" w:customStyle="1" w:styleId="133">
    <w:name w:val="et72"/>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eastAsia="仿宋_GB2312" w:cs="宋体"/>
      <w:kern w:val="0"/>
      <w:sz w:val="24"/>
    </w:rPr>
  </w:style>
  <w:style w:type="paragraph" w:customStyle="1" w:styleId="134">
    <w:name w:val="et73"/>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4"/>
    </w:rPr>
  </w:style>
  <w:style w:type="paragraph" w:customStyle="1" w:styleId="135">
    <w:name w:val="et74"/>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4"/>
    </w:rPr>
  </w:style>
  <w:style w:type="character" w:customStyle="1" w:styleId="136">
    <w:name w:val="font17"/>
    <w:basedOn w:val="16"/>
    <w:autoRedefine/>
    <w:qFormat/>
    <w:uiPriority w:val="0"/>
    <w:rPr>
      <w:rFonts w:hint="eastAsia" w:ascii="仿宋_GB2312" w:eastAsia="仿宋_GB2312"/>
      <w:b/>
      <w:bCs/>
      <w:color w:val="000000"/>
      <w:sz w:val="21"/>
      <w:szCs w:val="21"/>
      <w:u w:val="none"/>
    </w:rPr>
  </w:style>
  <w:style w:type="paragraph" w:customStyle="1" w:styleId="137">
    <w:name w:val="et57"/>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eastAsia="仿宋_GB2312" w:cs="宋体"/>
      <w:b/>
      <w:bCs/>
      <w:kern w:val="0"/>
      <w:sz w:val="20"/>
      <w:szCs w:val="20"/>
    </w:rPr>
  </w:style>
  <w:style w:type="paragraph" w:customStyle="1" w:styleId="138">
    <w:name w:val="et75"/>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4"/>
    </w:rPr>
  </w:style>
  <w:style w:type="paragraph" w:customStyle="1" w:styleId="139">
    <w:name w:val="et76"/>
    <w:basedOn w:val="1"/>
    <w:autoRedefine/>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customXml" Target="../customXml/item1.xml"/><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Template>
  <Pages>50</Pages>
  <Words>17028</Words>
  <Characters>18050</Characters>
  <Lines>3008</Lines>
  <Paragraphs>2923</Paragraphs>
  <TotalTime>0</TotalTime>
  <ScaleCrop>false</ScaleCrop>
  <LinksUpToDate>false</LinksUpToDate>
  <CharactersWithSpaces>32155</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2025-09-05T03:23:22Z</dcterms:modified>
  <cp:revision>47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249986807BBA47CDBED775DCF6B0EFCC_13</vt:lpwstr>
  </property>
  <property fmtid="{D5CDD505-2E9C-101B-9397-08002B2CF9AE}" pid="4" name="KSOTemplateDocerSaveRecord">
    <vt:lpwstr>eyJoZGlkIjoiN2YzNjBkOTgyNWQ1YTMxYzM3MzMwNWFiODNmOWIzYWMiLCJ1c2VySWQiOiI1MDk2MjI4NjIifQ==</vt:lpwstr>
  </property>
</Properties>
</file>