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96" w:lineRule="exact"/>
        <w:rPr>
          <w:rFonts w:hint="eastAsia" w:ascii="方正小标宋简体" w:hAnsi="华文宋体" w:eastAsia="方正小标宋简体" w:cs="Times New Roman"/>
          <w:b/>
          <w:sz w:val="44"/>
          <w:szCs w:val="44"/>
        </w:rPr>
      </w:pPr>
      <w:r>
        <w:rPr>
          <w:rFonts w:hint="eastAsia" w:ascii="方正小标宋简体" w:hAnsi="华文宋体" w:eastAsia="方正小标宋简体" w:cs="Times New Roman"/>
          <w:b/>
          <w:sz w:val="44"/>
          <w:szCs w:val="44"/>
        </w:rPr>
        <w:drawing>
          <wp:anchor distT="0" distB="0" distL="114300" distR="114300" simplePos="0" relativeHeight="251661312" behindDoc="1" locked="0" layoutInCell="1" allowOverlap="1">
            <wp:simplePos x="0" y="0"/>
            <wp:positionH relativeFrom="column">
              <wp:posOffset>-127635</wp:posOffset>
            </wp:positionH>
            <wp:positionV relativeFrom="paragraph">
              <wp:posOffset>84455</wp:posOffset>
            </wp:positionV>
            <wp:extent cx="3147695" cy="558165"/>
            <wp:effectExtent l="0" t="0" r="5080" b="3810"/>
            <wp:wrapNone/>
            <wp:docPr id="4" name="图片 4" descr="488c04306f9bdff372e219bccc37b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488c04306f9bdff372e219bccc37bba"/>
                    <pic:cNvPicPr>
                      <a:picLocks noChangeAspect="1"/>
                    </pic:cNvPicPr>
                  </pic:nvPicPr>
                  <pic:blipFill>
                    <a:blip r:embed="rId7"/>
                    <a:stretch>
                      <a:fillRect/>
                    </a:stretch>
                  </pic:blipFill>
                  <pic:spPr>
                    <a:xfrm>
                      <a:off x="0" y="0"/>
                      <a:ext cx="3147695" cy="558165"/>
                    </a:xfrm>
                    <a:prstGeom prst="rect">
                      <a:avLst/>
                    </a:prstGeom>
                  </pic:spPr>
                </pic:pic>
              </a:graphicData>
            </a:graphic>
          </wp:anchor>
        </w:drawing>
      </w:r>
    </w:p>
    <w:p>
      <w:pPr>
        <w:spacing w:line="596" w:lineRule="exact"/>
        <w:ind w:firstLine="883"/>
        <w:jc w:val="center"/>
        <w:rPr>
          <w:rFonts w:hint="eastAsia" w:ascii="方正小标宋简体" w:hAnsi="华文宋体" w:eastAsia="方正小标宋简体" w:cs="Times New Roman"/>
          <w:b/>
          <w:sz w:val="44"/>
          <w:szCs w:val="44"/>
        </w:rPr>
      </w:pPr>
    </w:p>
    <w:p>
      <w:pPr>
        <w:spacing w:line="596" w:lineRule="exact"/>
        <w:ind w:firstLine="883"/>
        <w:jc w:val="center"/>
        <w:rPr>
          <w:rFonts w:hint="eastAsia" w:ascii="方正小标宋简体" w:hAnsi="华文宋体" w:eastAsia="方正小标宋简体" w:cs="Times New Roman"/>
          <w:b/>
          <w:sz w:val="44"/>
          <w:szCs w:val="44"/>
        </w:rPr>
      </w:pPr>
    </w:p>
    <w:p>
      <w:pPr>
        <w:spacing w:line="596" w:lineRule="exact"/>
        <w:ind w:firstLine="883"/>
        <w:jc w:val="center"/>
        <w:rPr>
          <w:rFonts w:hint="eastAsia" w:ascii="方正小标宋简体" w:hAnsi="华文宋体" w:eastAsia="方正小标宋简体" w:cs="Times New Roman"/>
          <w:b/>
          <w:sz w:val="44"/>
          <w:szCs w:val="44"/>
        </w:rPr>
      </w:pPr>
    </w:p>
    <w:p>
      <w:pPr>
        <w:spacing w:line="596" w:lineRule="exact"/>
        <w:ind w:firstLine="883"/>
        <w:jc w:val="center"/>
        <w:rPr>
          <w:rFonts w:hint="eastAsia" w:ascii="方正小标宋简体" w:hAnsi="华文宋体" w:eastAsia="方正小标宋简体" w:cs="Times New Roman"/>
          <w:b/>
          <w:sz w:val="44"/>
          <w:szCs w:val="44"/>
        </w:rPr>
      </w:pPr>
    </w:p>
    <w:p>
      <w:pPr>
        <w:spacing w:line="596" w:lineRule="exact"/>
        <w:rPr>
          <w:rFonts w:hint="eastAsia" w:ascii="方正小标宋简体" w:hAnsi="华文宋体" w:eastAsia="方正小标宋简体" w:cs="Times New Roman"/>
          <w:b/>
          <w:sz w:val="44"/>
          <w:szCs w:val="44"/>
        </w:rPr>
      </w:pPr>
    </w:p>
    <w:p>
      <w:pPr>
        <w:spacing w:line="596" w:lineRule="exact"/>
        <w:rPr>
          <w:rFonts w:hint="eastAsia" w:ascii="方正小标宋简体" w:hAnsi="华文宋体" w:eastAsia="方正小标宋简体" w:cs="Times New Roman"/>
          <w:b/>
          <w:sz w:val="44"/>
          <w:szCs w:val="44"/>
        </w:rPr>
      </w:pPr>
    </w:p>
    <w:p>
      <w:pPr>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rPr>
        <w:t>2025级本科层次职业教育</w:t>
      </w:r>
    </w:p>
    <w:p>
      <w:pPr>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rPr>
        <w:t>跨境电子商务专业</w:t>
      </w:r>
      <w:bookmarkStart w:id="0" w:name="_Toc25217"/>
    </w:p>
    <w:p>
      <w:pPr>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rPr>
        <w:t>人才培养方案</w:t>
      </w:r>
      <w:bookmarkEnd w:id="0"/>
    </w:p>
    <w:p>
      <w:pPr>
        <w:spacing w:line="596" w:lineRule="exact"/>
        <w:rPr>
          <w:rFonts w:hint="eastAsia" w:ascii="仿宋" w:hAnsi="仿宋" w:eastAsia="仿宋" w:cs="仿宋"/>
        </w:rPr>
      </w:pPr>
      <w:r>
        <w:rPr>
          <w:rFonts w:hint="eastAsia" w:ascii="仿宋" w:hAnsi="仿宋" w:eastAsia="仿宋" w:cs="仿宋"/>
        </w:rPr>
        <w:t xml:space="preserve"> </w:t>
      </w:r>
    </w:p>
    <w:p>
      <w:pPr>
        <w:spacing w:line="596" w:lineRule="exact"/>
        <w:rPr>
          <w:rFonts w:hint="eastAsia" w:ascii="仿宋" w:hAnsi="仿宋" w:eastAsia="仿宋" w:cs="仿宋"/>
        </w:rPr>
      </w:pPr>
    </w:p>
    <w:p>
      <w:pPr>
        <w:spacing w:line="596" w:lineRule="exact"/>
        <w:rPr>
          <w:rFonts w:hint="eastAsia" w:ascii="仿宋" w:hAnsi="仿宋" w:eastAsia="仿宋" w:cs="仿宋"/>
        </w:rPr>
      </w:pPr>
    </w:p>
    <w:p>
      <w:pPr>
        <w:spacing w:line="596" w:lineRule="exact"/>
        <w:rPr>
          <w:rFonts w:hint="eastAsia" w:ascii="仿宋" w:hAnsi="仿宋" w:eastAsia="仿宋" w:cs="仿宋"/>
        </w:rPr>
      </w:pPr>
    </w:p>
    <w:p>
      <w:pPr>
        <w:spacing w:line="596" w:lineRule="exact"/>
        <w:rPr>
          <w:rFonts w:hint="eastAsia" w:ascii="仿宋" w:hAnsi="仿宋" w:eastAsia="仿宋" w:cs="仿宋"/>
        </w:rPr>
      </w:pPr>
    </w:p>
    <w:p>
      <w:pPr>
        <w:spacing w:line="596" w:lineRule="exact"/>
        <w:rPr>
          <w:rFonts w:hint="eastAsia" w:ascii="仿宋" w:hAnsi="仿宋" w:eastAsia="仿宋" w:cs="仿宋"/>
        </w:rPr>
      </w:pPr>
    </w:p>
    <w:p>
      <w:pPr>
        <w:spacing w:line="596" w:lineRule="exact"/>
        <w:rPr>
          <w:rFonts w:hint="eastAsia" w:ascii="仿宋" w:hAnsi="仿宋" w:eastAsia="仿宋" w:cs="仿宋"/>
        </w:rPr>
      </w:pPr>
    </w:p>
    <w:p>
      <w:pPr>
        <w:spacing w:line="596" w:lineRule="exact"/>
        <w:rPr>
          <w:rFonts w:hint="eastAsia" w:ascii="仿宋" w:hAnsi="仿宋" w:eastAsia="仿宋" w:cs="仿宋"/>
        </w:rPr>
      </w:pPr>
    </w:p>
    <w:p>
      <w:pPr>
        <w:spacing w:line="596" w:lineRule="exact"/>
        <w:rPr>
          <w:rFonts w:hint="eastAsia" w:ascii="仿宋" w:hAnsi="仿宋" w:eastAsia="仿宋" w:cs="仿宋"/>
        </w:rPr>
      </w:pPr>
    </w:p>
    <w:p>
      <w:pPr>
        <w:jc w:val="center"/>
        <w:rPr>
          <w:rFonts w:hint="eastAsia" w:ascii="黑体" w:hAnsi="黑体" w:eastAsia="黑体" w:cs="黑体"/>
          <w:b/>
          <w:bCs/>
          <w:sz w:val="36"/>
        </w:rPr>
      </w:pPr>
      <w:r>
        <w:rPr>
          <w:rFonts w:hint="eastAsia" w:ascii="黑体" w:hAnsi="黑体" w:eastAsia="黑体" w:cs="黑体"/>
          <w:b/>
          <w:bCs/>
          <w:sz w:val="36"/>
        </w:rPr>
        <w:t>二O二五年</w:t>
      </w:r>
    </w:p>
    <w:p>
      <w:pPr>
        <w:pStyle w:val="2"/>
        <w:spacing w:before="40" w:after="40" w:line="360" w:lineRule="auto"/>
        <w:ind w:firstLine="602" w:firstLineChars="200"/>
        <w:rPr>
          <w:rFonts w:hint="eastAsia" w:ascii="黑体" w:hAnsi="黑体" w:eastAsia="黑体" w:cs="黑体"/>
          <w:sz w:val="30"/>
          <w:szCs w:val="30"/>
        </w:rPr>
        <w:sectPr>
          <w:pgSz w:w="11906" w:h="16838"/>
          <w:pgMar w:top="1440" w:right="1800" w:bottom="1440" w:left="1800" w:header="851" w:footer="992" w:gutter="0"/>
          <w:cols w:space="425" w:num="1"/>
          <w:docGrid w:type="lines" w:linePitch="312" w:charSpace="0"/>
        </w:sectPr>
      </w:pPr>
    </w:p>
    <w:sdt>
      <w:sdtPr>
        <w:rPr>
          <w:rFonts w:ascii="宋体" w:hAnsi="宋体" w:eastAsia="宋体"/>
          <w:b/>
          <w:bCs/>
          <w:kern w:val="44"/>
          <w:sz w:val="32"/>
          <w:szCs w:val="40"/>
        </w:rPr>
        <w:id w:val="147474642"/>
        <w15:color w:val="DBDBDB"/>
        <w:docPartObj>
          <w:docPartGallery w:val="Table of Contents"/>
          <w:docPartUnique/>
        </w:docPartObj>
      </w:sdtPr>
      <w:sdtEndPr>
        <w:rPr>
          <w:rFonts w:hint="eastAsia" w:ascii="黑体" w:hAnsi="黑体" w:eastAsia="黑体" w:cs="黑体"/>
          <w:b/>
          <w:bCs/>
          <w:kern w:val="44"/>
          <w:sz w:val="44"/>
          <w:szCs w:val="30"/>
        </w:rPr>
      </w:sdtEndPr>
      <w:sdtContent>
        <w:p>
          <w:pPr>
            <w:spacing w:line="360" w:lineRule="exact"/>
            <w:jc w:val="center"/>
            <w:rPr>
              <w:b/>
              <w:bCs/>
              <w:sz w:val="32"/>
              <w:szCs w:val="40"/>
            </w:rPr>
          </w:pPr>
          <w:r>
            <w:rPr>
              <w:rFonts w:ascii="宋体" w:hAnsi="宋体" w:eastAsia="宋体"/>
              <w:b/>
              <w:bCs/>
              <w:sz w:val="32"/>
              <w:szCs w:val="40"/>
            </w:rPr>
            <w:t>目</w:t>
          </w:r>
          <w:r>
            <w:rPr>
              <w:rFonts w:hint="eastAsia" w:ascii="宋体" w:hAnsi="宋体" w:eastAsia="宋体"/>
              <w:b/>
              <w:bCs/>
              <w:sz w:val="32"/>
              <w:szCs w:val="40"/>
            </w:rPr>
            <w:t xml:space="preserve"> </w:t>
          </w:r>
          <w:r>
            <w:rPr>
              <w:rFonts w:ascii="宋体" w:hAnsi="宋体" w:eastAsia="宋体"/>
              <w:b/>
              <w:bCs/>
              <w:sz w:val="32"/>
              <w:szCs w:val="40"/>
            </w:rPr>
            <w:t>录</w:t>
          </w:r>
        </w:p>
        <w:p>
          <w:pPr>
            <w:pStyle w:val="12"/>
            <w:tabs>
              <w:tab w:val="right" w:leader="dot" w:pos="8306"/>
            </w:tabs>
          </w:pPr>
          <w:r>
            <w:rPr>
              <w:rFonts w:hint="eastAsia" w:ascii="宋体" w:hAnsi="宋体" w:eastAsia="宋体" w:cs="宋体"/>
              <w:sz w:val="24"/>
            </w:rPr>
            <w:fldChar w:fldCharType="begin"/>
          </w:r>
          <w:r>
            <w:rPr>
              <w:rFonts w:hint="eastAsia" w:ascii="宋体" w:hAnsi="宋体" w:eastAsia="宋体" w:cs="宋体"/>
              <w:sz w:val="24"/>
            </w:rPr>
            <w:instrText xml:space="preserve">TOC \o "1-2" \h \u </w:instrText>
          </w:r>
          <w:r>
            <w:rPr>
              <w:rFonts w:hint="eastAsia" w:ascii="宋体" w:hAnsi="宋体" w:eastAsia="宋体" w:cs="宋体"/>
              <w:sz w:val="24"/>
            </w:rPr>
            <w:fldChar w:fldCharType="separate"/>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"_Toc2443" </w:instrText>
          </w:r>
          <w:r>
            <w:fldChar w:fldCharType="separate"/>
          </w:r>
          <w:r>
            <w:rPr>
              <w:rFonts w:hint="eastAsia" w:ascii="宋体" w:hAnsi="宋体" w:eastAsia="宋体" w:cs="宋体"/>
              <w:b/>
              <w:bCs/>
              <w:sz w:val="24"/>
              <w:szCs w:val="36"/>
            </w:rPr>
            <w:t>一、专业名称及代码</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_Toc2443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"_Toc28249" </w:instrText>
          </w:r>
          <w:r>
            <w:fldChar w:fldCharType="separate"/>
          </w:r>
          <w:r>
            <w:rPr>
              <w:rFonts w:hint="eastAsia" w:ascii="宋体" w:hAnsi="宋体" w:eastAsia="宋体" w:cs="宋体"/>
              <w:b/>
              <w:bCs/>
              <w:sz w:val="24"/>
              <w:szCs w:val="36"/>
            </w:rPr>
            <w:t>二、入学要求</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_Toc28249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"_Toc6831" </w:instrText>
          </w:r>
          <w:r>
            <w:fldChar w:fldCharType="separate"/>
          </w:r>
          <w:r>
            <w:rPr>
              <w:rFonts w:hint="eastAsia" w:ascii="宋体" w:hAnsi="宋体" w:eastAsia="宋体" w:cs="宋体"/>
              <w:b/>
              <w:bCs/>
              <w:sz w:val="24"/>
              <w:szCs w:val="36"/>
            </w:rPr>
            <w:t>三、修业年限</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_Toc6831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"_Toc20765" </w:instrText>
          </w:r>
          <w:r>
            <w:fldChar w:fldCharType="separate"/>
          </w:r>
          <w:r>
            <w:rPr>
              <w:rFonts w:hint="eastAsia" w:ascii="宋体" w:hAnsi="宋体" w:eastAsia="宋体" w:cs="宋体"/>
              <w:b/>
              <w:bCs/>
              <w:sz w:val="24"/>
              <w:szCs w:val="36"/>
            </w:rPr>
            <w:t>四、职业面向</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_Toc20765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"_Toc22636" </w:instrText>
          </w:r>
          <w:r>
            <w:fldChar w:fldCharType="separate"/>
          </w:r>
          <w:r>
            <w:rPr>
              <w:rFonts w:hint="eastAsia" w:ascii="宋体" w:hAnsi="宋体" w:eastAsia="宋体" w:cs="宋体"/>
              <w:b/>
              <w:bCs/>
              <w:sz w:val="24"/>
              <w:szCs w:val="36"/>
            </w:rPr>
            <w:t>五、培养目标与培养规格</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_Toc22636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"_Toc27622" </w:instrText>
          </w:r>
          <w:r>
            <w:fldChar w:fldCharType="separate"/>
          </w:r>
          <w:r>
            <w:rPr>
              <w:rFonts w:hint="eastAsia" w:ascii="宋体" w:hAnsi="宋体" w:eastAsia="宋体" w:cs="宋体"/>
              <w:sz w:val="24"/>
              <w:szCs w:val="44"/>
            </w:rPr>
            <w:t>（一）培养目标</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_Toc27622 \h </w:instrText>
          </w:r>
          <w:r>
            <w:rPr>
              <w:rFonts w:hint="eastAsia" w:ascii="宋体" w:hAnsi="宋体" w:eastAsia="宋体" w:cs="宋体"/>
              <w:sz w:val="24"/>
              <w:szCs w:val="32"/>
            </w:rPr>
            <w:fldChar w:fldCharType="separate"/>
          </w:r>
          <w:r>
            <w:rPr>
              <w:rFonts w:hint="eastAsia" w:ascii="宋体" w:hAnsi="宋体" w:eastAsia="宋体" w:cs="宋体"/>
              <w:sz w:val="24"/>
              <w:szCs w:val="32"/>
            </w:rPr>
            <w:t>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"_Toc31159" </w:instrText>
          </w:r>
          <w:r>
            <w:fldChar w:fldCharType="separate"/>
          </w:r>
          <w:r>
            <w:rPr>
              <w:rFonts w:hint="eastAsia" w:ascii="宋体" w:hAnsi="宋体" w:eastAsia="宋体" w:cs="宋体"/>
              <w:sz w:val="24"/>
              <w:szCs w:val="44"/>
            </w:rPr>
            <w:t>（二）培养规格</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_Toc31159 \h </w:instrText>
          </w:r>
          <w:r>
            <w:rPr>
              <w:rFonts w:hint="eastAsia" w:ascii="宋体" w:hAnsi="宋体" w:eastAsia="宋体" w:cs="宋体"/>
              <w:sz w:val="24"/>
              <w:szCs w:val="32"/>
            </w:rPr>
            <w:fldChar w:fldCharType="separate"/>
          </w:r>
          <w:r>
            <w:rPr>
              <w:rFonts w:hint="eastAsia" w:ascii="宋体" w:hAnsi="宋体" w:eastAsia="宋体" w:cs="宋体"/>
              <w:sz w:val="24"/>
              <w:szCs w:val="32"/>
            </w:rPr>
            <w:t>2</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"_Toc27196" </w:instrText>
          </w:r>
          <w:r>
            <w:fldChar w:fldCharType="separate"/>
          </w:r>
          <w:r>
            <w:rPr>
              <w:rFonts w:hint="eastAsia" w:ascii="宋体" w:hAnsi="宋体" w:eastAsia="宋体" w:cs="宋体"/>
              <w:b/>
              <w:bCs/>
              <w:sz w:val="24"/>
              <w:szCs w:val="36"/>
            </w:rPr>
            <w:t>六、课程设置及要求</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_Toc27196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3</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"_Toc12977" </w:instrText>
          </w:r>
          <w:r>
            <w:fldChar w:fldCharType="separate"/>
          </w:r>
          <w:r>
            <w:rPr>
              <w:rFonts w:hint="eastAsia" w:ascii="宋体" w:hAnsi="宋体" w:eastAsia="宋体" w:cs="宋体"/>
              <w:sz w:val="24"/>
              <w:szCs w:val="44"/>
            </w:rPr>
            <w:t>（一）课程体系</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_Toc12977 \h </w:instrText>
          </w:r>
          <w:r>
            <w:rPr>
              <w:rFonts w:hint="eastAsia" w:ascii="宋体" w:hAnsi="宋体" w:eastAsia="宋体" w:cs="宋体"/>
              <w:sz w:val="24"/>
              <w:szCs w:val="32"/>
            </w:rPr>
            <w:fldChar w:fldCharType="separate"/>
          </w:r>
          <w:r>
            <w:rPr>
              <w:rFonts w:hint="eastAsia" w:ascii="宋体" w:hAnsi="宋体" w:eastAsia="宋体" w:cs="宋体"/>
              <w:sz w:val="24"/>
              <w:szCs w:val="32"/>
            </w:rPr>
            <w:t>3</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"_Toc4982" </w:instrText>
          </w:r>
          <w:r>
            <w:fldChar w:fldCharType="separate"/>
          </w:r>
          <w:r>
            <w:rPr>
              <w:rFonts w:hint="eastAsia" w:ascii="宋体" w:hAnsi="宋体" w:eastAsia="宋体" w:cs="宋体"/>
              <w:sz w:val="24"/>
              <w:szCs w:val="44"/>
            </w:rPr>
            <w:t>（二）课程设置</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_Toc4982 \h </w:instrText>
          </w:r>
          <w:r>
            <w:rPr>
              <w:rFonts w:hint="eastAsia" w:ascii="宋体" w:hAnsi="宋体" w:eastAsia="宋体" w:cs="宋体"/>
              <w:sz w:val="24"/>
              <w:szCs w:val="32"/>
            </w:rPr>
            <w:fldChar w:fldCharType="separate"/>
          </w:r>
          <w:r>
            <w:rPr>
              <w:rFonts w:hint="eastAsia" w:ascii="宋体" w:hAnsi="宋体" w:eastAsia="宋体" w:cs="宋体"/>
              <w:sz w:val="24"/>
              <w:szCs w:val="32"/>
            </w:rPr>
            <w:t>9</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"_Toc27181" </w:instrText>
          </w:r>
          <w:r>
            <w:fldChar w:fldCharType="separate"/>
          </w:r>
          <w:r>
            <w:rPr>
              <w:rFonts w:hint="eastAsia" w:ascii="宋体" w:hAnsi="宋体" w:eastAsia="宋体" w:cs="宋体"/>
              <w:b/>
              <w:bCs/>
              <w:sz w:val="24"/>
              <w:szCs w:val="36"/>
            </w:rPr>
            <w:t>七、教学进度总体安排</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_Toc27181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23</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"_Toc17573" </w:instrText>
          </w:r>
          <w:r>
            <w:fldChar w:fldCharType="separate"/>
          </w:r>
          <w:r>
            <w:rPr>
              <w:rFonts w:hint="eastAsia" w:ascii="宋体" w:hAnsi="宋体" w:eastAsia="宋体" w:cs="宋体"/>
              <w:sz w:val="24"/>
              <w:szCs w:val="44"/>
            </w:rPr>
            <w:t>（一）教学活动时间分配</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_Toc17573 \h </w:instrText>
          </w:r>
          <w:r>
            <w:rPr>
              <w:rFonts w:hint="eastAsia" w:ascii="宋体" w:hAnsi="宋体" w:eastAsia="宋体" w:cs="宋体"/>
              <w:sz w:val="24"/>
              <w:szCs w:val="32"/>
            </w:rPr>
            <w:fldChar w:fldCharType="separate"/>
          </w:r>
          <w:r>
            <w:rPr>
              <w:rFonts w:hint="eastAsia" w:ascii="宋体" w:hAnsi="宋体" w:eastAsia="宋体" w:cs="宋体"/>
              <w:sz w:val="24"/>
              <w:szCs w:val="32"/>
            </w:rPr>
            <w:t>24</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"_Toc31832" </w:instrText>
          </w:r>
          <w:r>
            <w:fldChar w:fldCharType="separate"/>
          </w:r>
          <w:r>
            <w:rPr>
              <w:rFonts w:hint="eastAsia" w:ascii="宋体" w:hAnsi="宋体" w:eastAsia="宋体" w:cs="宋体"/>
              <w:sz w:val="24"/>
              <w:szCs w:val="44"/>
            </w:rPr>
            <w:t>（二）课程学分学时比例构成</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_Toc31832 \h </w:instrText>
          </w:r>
          <w:r>
            <w:rPr>
              <w:rFonts w:hint="eastAsia" w:ascii="宋体" w:hAnsi="宋体" w:eastAsia="宋体" w:cs="宋体"/>
              <w:sz w:val="24"/>
              <w:szCs w:val="32"/>
            </w:rPr>
            <w:fldChar w:fldCharType="separate"/>
          </w:r>
          <w:r>
            <w:rPr>
              <w:rFonts w:hint="eastAsia" w:ascii="宋体" w:hAnsi="宋体" w:eastAsia="宋体" w:cs="宋体"/>
              <w:sz w:val="24"/>
              <w:szCs w:val="32"/>
            </w:rPr>
            <w:t>24</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"_Toc5913" </w:instrText>
          </w:r>
          <w:r>
            <w:fldChar w:fldCharType="separate"/>
          </w:r>
          <w:r>
            <w:rPr>
              <w:rFonts w:hint="eastAsia" w:ascii="宋体" w:hAnsi="宋体" w:eastAsia="宋体" w:cs="宋体"/>
              <w:sz w:val="24"/>
              <w:szCs w:val="44"/>
            </w:rPr>
            <w:t>（三）第一课堂进程安排</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_Toc5913 \h </w:instrText>
          </w:r>
          <w:r>
            <w:rPr>
              <w:rFonts w:hint="eastAsia" w:ascii="宋体" w:hAnsi="宋体" w:eastAsia="宋体" w:cs="宋体"/>
              <w:sz w:val="24"/>
              <w:szCs w:val="32"/>
            </w:rPr>
            <w:fldChar w:fldCharType="separate"/>
          </w:r>
          <w:r>
            <w:rPr>
              <w:rFonts w:hint="eastAsia" w:ascii="宋体" w:hAnsi="宋体" w:eastAsia="宋体" w:cs="宋体"/>
              <w:sz w:val="24"/>
              <w:szCs w:val="32"/>
            </w:rPr>
            <w:t>25</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"_Toc31667" </w:instrText>
          </w:r>
          <w:r>
            <w:fldChar w:fldCharType="separate"/>
          </w:r>
          <w:r>
            <w:rPr>
              <w:rFonts w:hint="eastAsia" w:ascii="宋体" w:hAnsi="宋体" w:eastAsia="宋体" w:cs="宋体"/>
              <w:sz w:val="24"/>
              <w:szCs w:val="44"/>
            </w:rPr>
            <w:t>（四）第二课堂活动安排</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_Toc31667 \h </w:instrText>
          </w:r>
          <w:r>
            <w:rPr>
              <w:rFonts w:hint="eastAsia" w:ascii="宋体" w:hAnsi="宋体" w:eastAsia="宋体" w:cs="宋体"/>
              <w:sz w:val="24"/>
              <w:szCs w:val="32"/>
            </w:rPr>
            <w:fldChar w:fldCharType="separate"/>
          </w:r>
          <w:r>
            <w:rPr>
              <w:rFonts w:hint="eastAsia" w:ascii="宋体" w:hAnsi="宋体" w:eastAsia="宋体" w:cs="宋体"/>
              <w:sz w:val="24"/>
              <w:szCs w:val="32"/>
            </w:rPr>
            <w:t>25</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"_Toc27067" </w:instrText>
          </w:r>
          <w:r>
            <w:fldChar w:fldCharType="separate"/>
          </w:r>
          <w:r>
            <w:rPr>
              <w:rFonts w:hint="eastAsia" w:ascii="宋体" w:hAnsi="宋体" w:eastAsia="宋体" w:cs="宋体"/>
              <w:b/>
              <w:bCs/>
              <w:sz w:val="24"/>
              <w:szCs w:val="36"/>
            </w:rPr>
            <w:t>八、实施保障</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_Toc27067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29</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"_Toc28671" </w:instrText>
          </w:r>
          <w:r>
            <w:fldChar w:fldCharType="separate"/>
          </w:r>
          <w:r>
            <w:rPr>
              <w:rFonts w:hint="eastAsia" w:ascii="宋体" w:hAnsi="宋体" w:eastAsia="宋体" w:cs="宋体"/>
              <w:sz w:val="24"/>
              <w:szCs w:val="44"/>
            </w:rPr>
            <w:t>（一）实训基地配备</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_Toc28671 \h </w:instrText>
          </w:r>
          <w:r>
            <w:rPr>
              <w:rFonts w:hint="eastAsia" w:ascii="宋体" w:hAnsi="宋体" w:eastAsia="宋体" w:cs="宋体"/>
              <w:sz w:val="24"/>
              <w:szCs w:val="32"/>
            </w:rPr>
            <w:fldChar w:fldCharType="separate"/>
          </w:r>
          <w:r>
            <w:rPr>
              <w:rFonts w:hint="eastAsia" w:ascii="宋体" w:hAnsi="宋体" w:eastAsia="宋体" w:cs="宋体"/>
              <w:sz w:val="24"/>
              <w:szCs w:val="32"/>
            </w:rPr>
            <w:t>29</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"_Toc3807" </w:instrText>
          </w:r>
          <w:r>
            <w:fldChar w:fldCharType="separate"/>
          </w:r>
          <w:r>
            <w:rPr>
              <w:rFonts w:hint="eastAsia" w:ascii="宋体" w:hAnsi="宋体" w:eastAsia="宋体" w:cs="宋体"/>
              <w:sz w:val="24"/>
              <w:szCs w:val="44"/>
            </w:rPr>
            <w:t>（二）结构化教学团队</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_Toc3807 \h </w:instrText>
          </w:r>
          <w:r>
            <w:rPr>
              <w:rFonts w:hint="eastAsia" w:ascii="宋体" w:hAnsi="宋体" w:eastAsia="宋体" w:cs="宋体"/>
              <w:sz w:val="24"/>
              <w:szCs w:val="32"/>
            </w:rPr>
            <w:fldChar w:fldCharType="separate"/>
          </w:r>
          <w:r>
            <w:rPr>
              <w:rFonts w:hint="eastAsia" w:ascii="宋体" w:hAnsi="宋体" w:eastAsia="宋体" w:cs="宋体"/>
              <w:sz w:val="24"/>
              <w:szCs w:val="32"/>
            </w:rPr>
            <w:t>31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"_Toc27116" </w:instrText>
          </w:r>
          <w:r>
            <w:fldChar w:fldCharType="separate"/>
          </w:r>
          <w:r>
            <w:rPr>
              <w:rFonts w:hint="eastAsia" w:ascii="宋体" w:hAnsi="宋体" w:eastAsia="宋体" w:cs="宋体"/>
              <w:sz w:val="24"/>
              <w:szCs w:val="44"/>
            </w:rPr>
            <w:t>（三）教学资源</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_Toc27116 \h </w:instrText>
          </w:r>
          <w:r>
            <w:rPr>
              <w:rFonts w:hint="eastAsia" w:ascii="宋体" w:hAnsi="宋体" w:eastAsia="宋体" w:cs="宋体"/>
              <w:sz w:val="24"/>
              <w:szCs w:val="32"/>
            </w:rPr>
            <w:fldChar w:fldCharType="separate"/>
          </w:r>
          <w:r>
            <w:rPr>
              <w:rFonts w:hint="eastAsia" w:ascii="宋体" w:hAnsi="宋体" w:eastAsia="宋体" w:cs="宋体"/>
              <w:sz w:val="24"/>
              <w:szCs w:val="32"/>
            </w:rPr>
            <w:t>32</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"_Toc2987" </w:instrText>
          </w:r>
          <w:r>
            <w:fldChar w:fldCharType="separate"/>
          </w:r>
          <w:r>
            <w:rPr>
              <w:rFonts w:hint="eastAsia" w:ascii="宋体" w:hAnsi="宋体" w:eastAsia="宋体" w:cs="宋体"/>
              <w:sz w:val="24"/>
              <w:szCs w:val="44"/>
            </w:rPr>
            <w:t>（四）教学方法</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_Toc2987 \h </w:instrText>
          </w:r>
          <w:r>
            <w:rPr>
              <w:rFonts w:hint="eastAsia" w:ascii="宋体" w:hAnsi="宋体" w:eastAsia="宋体" w:cs="宋体"/>
              <w:sz w:val="24"/>
              <w:szCs w:val="32"/>
            </w:rPr>
            <w:fldChar w:fldCharType="separate"/>
          </w:r>
          <w:r>
            <w:rPr>
              <w:rFonts w:hint="eastAsia" w:ascii="宋体" w:hAnsi="宋体" w:eastAsia="宋体" w:cs="宋体"/>
              <w:sz w:val="24"/>
              <w:szCs w:val="32"/>
            </w:rPr>
            <w:t>35</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"_Toc16360" </w:instrText>
          </w:r>
          <w:r>
            <w:fldChar w:fldCharType="separate"/>
          </w:r>
          <w:r>
            <w:rPr>
              <w:rFonts w:hint="eastAsia" w:ascii="宋体" w:hAnsi="宋体" w:eastAsia="宋体" w:cs="宋体"/>
              <w:sz w:val="24"/>
              <w:szCs w:val="44"/>
            </w:rPr>
            <w:t>（五）学习评价</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_Toc16360 \h </w:instrText>
          </w:r>
          <w:r>
            <w:rPr>
              <w:rFonts w:hint="eastAsia" w:ascii="宋体" w:hAnsi="宋体" w:eastAsia="宋体" w:cs="宋体"/>
              <w:sz w:val="24"/>
              <w:szCs w:val="32"/>
            </w:rPr>
            <w:fldChar w:fldCharType="separate"/>
          </w:r>
          <w:r>
            <w:rPr>
              <w:rFonts w:hint="eastAsia" w:ascii="宋体" w:hAnsi="宋体" w:eastAsia="宋体" w:cs="宋体"/>
              <w:sz w:val="24"/>
              <w:szCs w:val="32"/>
            </w:rPr>
            <w:t>36</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"_Toc47" </w:instrText>
          </w:r>
          <w:r>
            <w:fldChar w:fldCharType="separate"/>
          </w:r>
          <w:r>
            <w:rPr>
              <w:rFonts w:hint="eastAsia" w:ascii="宋体" w:hAnsi="宋体" w:eastAsia="宋体" w:cs="宋体"/>
              <w:sz w:val="24"/>
              <w:szCs w:val="44"/>
            </w:rPr>
            <w:t>（六）质量保障</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_Toc47 \h </w:instrText>
          </w:r>
          <w:r>
            <w:rPr>
              <w:rFonts w:hint="eastAsia" w:ascii="宋体" w:hAnsi="宋体" w:eastAsia="宋体" w:cs="宋体"/>
              <w:sz w:val="24"/>
              <w:szCs w:val="32"/>
            </w:rPr>
            <w:fldChar w:fldCharType="separate"/>
          </w:r>
          <w:r>
            <w:rPr>
              <w:rFonts w:hint="eastAsia" w:ascii="宋体" w:hAnsi="宋体" w:eastAsia="宋体" w:cs="宋体"/>
              <w:sz w:val="24"/>
              <w:szCs w:val="32"/>
            </w:rPr>
            <w:t>38</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"_Toc27668" </w:instrText>
          </w:r>
          <w:r>
            <w:fldChar w:fldCharType="separate"/>
          </w:r>
          <w:r>
            <w:rPr>
              <w:rFonts w:hint="eastAsia" w:ascii="宋体" w:hAnsi="宋体" w:eastAsia="宋体" w:cs="宋体"/>
              <w:b/>
              <w:bCs/>
              <w:sz w:val="24"/>
              <w:szCs w:val="36"/>
            </w:rPr>
            <w:t>九、毕业要求及学位授予</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_Toc27668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39</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"_Toc5931" </w:instrText>
          </w:r>
          <w:r>
            <w:fldChar w:fldCharType="separate"/>
          </w:r>
          <w:r>
            <w:rPr>
              <w:rFonts w:hint="eastAsia" w:ascii="宋体" w:hAnsi="宋体" w:eastAsia="宋体" w:cs="宋体"/>
              <w:sz w:val="24"/>
              <w:szCs w:val="44"/>
            </w:rPr>
            <w:t>（一）毕业要求</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_Toc5931 \h </w:instrText>
          </w:r>
          <w:r>
            <w:rPr>
              <w:rFonts w:hint="eastAsia" w:ascii="宋体" w:hAnsi="宋体" w:eastAsia="宋体" w:cs="宋体"/>
              <w:sz w:val="24"/>
              <w:szCs w:val="32"/>
            </w:rPr>
            <w:fldChar w:fldCharType="separate"/>
          </w:r>
          <w:r>
            <w:rPr>
              <w:rFonts w:hint="eastAsia" w:ascii="宋体" w:hAnsi="宋体" w:eastAsia="宋体" w:cs="宋体"/>
              <w:sz w:val="24"/>
              <w:szCs w:val="32"/>
            </w:rPr>
            <w:t>39</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"_Toc10945" </w:instrText>
          </w:r>
          <w:r>
            <w:fldChar w:fldCharType="separate"/>
          </w:r>
          <w:r>
            <w:rPr>
              <w:rFonts w:hint="eastAsia" w:ascii="宋体" w:hAnsi="宋体" w:eastAsia="宋体" w:cs="宋体"/>
              <w:sz w:val="24"/>
              <w:szCs w:val="44"/>
            </w:rPr>
            <w:t>（二）学位授予</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_Toc10945 \h </w:instrText>
          </w:r>
          <w:r>
            <w:rPr>
              <w:rFonts w:hint="eastAsia" w:ascii="宋体" w:hAnsi="宋体" w:eastAsia="宋体" w:cs="宋体"/>
              <w:sz w:val="24"/>
              <w:szCs w:val="32"/>
            </w:rPr>
            <w:fldChar w:fldCharType="separate"/>
          </w:r>
          <w:r>
            <w:rPr>
              <w:rFonts w:hint="eastAsia" w:ascii="宋体" w:hAnsi="宋体" w:eastAsia="宋体" w:cs="宋体"/>
              <w:sz w:val="24"/>
              <w:szCs w:val="32"/>
            </w:rPr>
            <w:t>40</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"_Toc19930" </w:instrText>
          </w:r>
          <w:r>
            <w:fldChar w:fldCharType="separate"/>
          </w:r>
          <w:r>
            <w:rPr>
              <w:rFonts w:hint="eastAsia" w:ascii="宋体" w:hAnsi="宋体" w:eastAsia="宋体" w:cs="宋体"/>
              <w:b/>
              <w:bCs/>
              <w:sz w:val="24"/>
              <w:szCs w:val="36"/>
            </w:rPr>
            <w:t>十、附录</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_Toc19930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40</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"_Toc13743" </w:instrText>
          </w:r>
          <w:r>
            <w:fldChar w:fldCharType="separate"/>
          </w:r>
          <w:r>
            <w:rPr>
              <w:rFonts w:hint="eastAsia" w:ascii="宋体" w:hAnsi="宋体" w:eastAsia="宋体" w:cs="宋体"/>
              <w:sz w:val="24"/>
              <w:szCs w:val="44"/>
            </w:rPr>
            <w:t>（一）第一课堂进程安排表</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_Toc13743 \h </w:instrText>
          </w:r>
          <w:r>
            <w:rPr>
              <w:rFonts w:hint="eastAsia" w:ascii="宋体" w:hAnsi="宋体" w:eastAsia="宋体" w:cs="宋体"/>
              <w:sz w:val="24"/>
              <w:szCs w:val="32"/>
            </w:rPr>
            <w:fldChar w:fldCharType="separate"/>
          </w:r>
          <w:r>
            <w:rPr>
              <w:rFonts w:hint="eastAsia" w:ascii="宋体" w:hAnsi="宋体" w:eastAsia="宋体" w:cs="宋体"/>
              <w:sz w:val="24"/>
              <w:szCs w:val="32"/>
            </w:rPr>
            <w:t>40</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"_Toc2755" </w:instrText>
          </w:r>
          <w:r>
            <w:fldChar w:fldCharType="separate"/>
          </w:r>
          <w:r>
            <w:rPr>
              <w:rFonts w:hint="eastAsia" w:ascii="宋体" w:hAnsi="宋体" w:eastAsia="宋体" w:cs="宋体"/>
              <w:sz w:val="24"/>
              <w:szCs w:val="44"/>
            </w:rPr>
            <w:t>（二）第二课堂活动安排表</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_Toc2755 \h </w:instrText>
          </w:r>
          <w:r>
            <w:rPr>
              <w:rFonts w:hint="eastAsia" w:ascii="宋体" w:hAnsi="宋体" w:eastAsia="宋体" w:cs="宋体"/>
              <w:sz w:val="24"/>
              <w:szCs w:val="32"/>
            </w:rPr>
            <w:fldChar w:fldCharType="separate"/>
          </w:r>
          <w:r>
            <w:rPr>
              <w:rFonts w:hint="eastAsia" w:ascii="宋体" w:hAnsi="宋体" w:eastAsia="宋体" w:cs="宋体"/>
              <w:sz w:val="24"/>
              <w:szCs w:val="32"/>
            </w:rPr>
            <w:t>46</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"_Toc9726" </w:instrText>
          </w:r>
          <w:r>
            <w:fldChar w:fldCharType="separate"/>
          </w:r>
          <w:r>
            <w:rPr>
              <w:rFonts w:hint="eastAsia" w:ascii="宋体" w:hAnsi="宋体" w:eastAsia="宋体" w:cs="宋体"/>
              <w:sz w:val="24"/>
              <w:szCs w:val="44"/>
            </w:rPr>
            <w:t>（三）专业人才培养方案制定的说明</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_Toc9726 \h </w:instrText>
          </w:r>
          <w:r>
            <w:rPr>
              <w:rFonts w:hint="eastAsia" w:ascii="宋体" w:hAnsi="宋体" w:eastAsia="宋体" w:cs="宋体"/>
              <w:sz w:val="24"/>
              <w:szCs w:val="32"/>
            </w:rPr>
            <w:fldChar w:fldCharType="separate"/>
          </w:r>
          <w:r>
            <w:rPr>
              <w:rFonts w:hint="eastAsia" w:ascii="宋体" w:hAnsi="宋体" w:eastAsia="宋体" w:cs="宋体"/>
              <w:sz w:val="24"/>
              <w:szCs w:val="32"/>
            </w:rPr>
            <w:t>51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sz w:val="22"/>
              <w:szCs w:val="28"/>
            </w:rPr>
          </w:pPr>
          <w:r>
            <w:fldChar w:fldCharType="begin"/>
          </w:r>
          <w:r>
            <w:instrText xml:space="preserve"> HYPERLINK \l "_Toc1106" </w:instrText>
          </w:r>
          <w:r>
            <w:fldChar w:fldCharType="separate"/>
          </w:r>
          <w:r>
            <w:rPr>
              <w:rFonts w:hint="eastAsia" w:ascii="宋体" w:hAnsi="宋体" w:eastAsia="宋体" w:cs="宋体"/>
              <w:sz w:val="24"/>
              <w:szCs w:val="44"/>
            </w:rPr>
            <w:t>（四）专业对应的职业/岗位分析</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_Toc1106 \h </w:instrText>
          </w:r>
          <w:r>
            <w:rPr>
              <w:rFonts w:hint="eastAsia" w:ascii="宋体" w:hAnsi="宋体" w:eastAsia="宋体" w:cs="宋体"/>
              <w:sz w:val="24"/>
              <w:szCs w:val="32"/>
            </w:rPr>
            <w:fldChar w:fldCharType="separate"/>
          </w:r>
          <w:r>
            <w:rPr>
              <w:rFonts w:hint="eastAsia" w:ascii="宋体" w:hAnsi="宋体" w:eastAsia="宋体" w:cs="宋体"/>
              <w:sz w:val="24"/>
              <w:szCs w:val="32"/>
            </w:rPr>
            <w:t>51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2"/>
            <w:spacing w:before="40" w:after="40" w:line="380" w:lineRule="exact"/>
            <w:rPr>
              <w:rFonts w:hint="eastAsia" w:ascii="黑体" w:hAnsi="黑体" w:eastAsia="黑体" w:cs="黑体"/>
              <w:sz w:val="30"/>
              <w:szCs w:val="30"/>
            </w:rPr>
            <w:sectPr>
              <w:footerReference r:id="rId3" w:type="default"/>
              <w:pgSz w:w="11906" w:h="16838"/>
              <w:pgMar w:top="1440" w:right="1800" w:bottom="1440" w:left="1800" w:header="851" w:footer="992" w:gutter="0"/>
              <w:cols w:space="425" w:num="1"/>
              <w:docGrid w:type="lines" w:linePitch="312" w:charSpace="0"/>
            </w:sectPr>
          </w:pPr>
          <w:r>
            <w:rPr>
              <w:rFonts w:hint="eastAsia" w:ascii="宋体" w:hAnsi="宋体" w:eastAsia="宋体" w:cs="宋体"/>
              <w:szCs w:val="24"/>
            </w:rPr>
            <w:fldChar w:fldCharType="end"/>
          </w:r>
        </w:p>
      </w:sdtContent>
    </w:sdt>
    <w:p>
      <w:pPr>
        <w:pStyle w:val="2"/>
        <w:spacing w:before="40" w:after="40" w:line="360" w:lineRule="auto"/>
        <w:ind w:firstLine="602" w:firstLineChars="200"/>
        <w:rPr>
          <w:rFonts w:hint="eastAsia" w:ascii="黑体" w:hAnsi="黑体" w:eastAsia="黑体" w:cs="黑体"/>
          <w:sz w:val="30"/>
          <w:szCs w:val="30"/>
        </w:rPr>
      </w:pPr>
      <w:bookmarkStart w:id="1" w:name="_Toc2443"/>
      <w:r>
        <w:rPr>
          <w:rFonts w:hint="eastAsia" w:ascii="黑体" w:hAnsi="黑体" w:eastAsia="黑体" w:cs="黑体"/>
          <w:sz w:val="30"/>
          <w:szCs w:val="30"/>
        </w:rPr>
        <w:t>一、专业名称及代码</w:t>
      </w:r>
      <w:bookmarkEnd w:id="1"/>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专业名称：跨境电子商务</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专业代码：330702</w:t>
      </w:r>
    </w:p>
    <w:p>
      <w:pPr>
        <w:pStyle w:val="2"/>
        <w:spacing w:before="40" w:after="40" w:line="360" w:lineRule="auto"/>
        <w:ind w:firstLine="602" w:firstLineChars="200"/>
        <w:rPr>
          <w:rFonts w:hint="eastAsia" w:ascii="黑体" w:hAnsi="黑体" w:eastAsia="黑体" w:cs="黑体"/>
          <w:sz w:val="30"/>
          <w:szCs w:val="30"/>
        </w:rPr>
      </w:pPr>
      <w:bookmarkStart w:id="2" w:name="_Toc28249"/>
      <w:r>
        <w:rPr>
          <w:rFonts w:hint="eastAsia" w:ascii="黑体" w:hAnsi="黑体" w:eastAsia="黑体" w:cs="黑体"/>
          <w:sz w:val="30"/>
          <w:szCs w:val="30"/>
        </w:rPr>
        <w:t>二、入学要求</w:t>
      </w:r>
      <w:bookmarkEnd w:id="2"/>
    </w:p>
    <w:p>
      <w:pPr>
        <w:adjustRightInd w:val="0"/>
        <w:snapToGrid w:val="0"/>
        <w:spacing w:line="360" w:lineRule="auto"/>
        <w:rPr>
          <w:rFonts w:hint="eastAsia" w:ascii="仿宋" w:hAnsi="仿宋" w:eastAsia="仿宋" w:cs="仿宋"/>
          <w:sz w:val="28"/>
          <w:szCs w:val="28"/>
        </w:rPr>
      </w:pPr>
      <w:r>
        <w:rPr>
          <w:rFonts w:hint="eastAsia" w:ascii="仿宋" w:hAnsi="仿宋" w:eastAsia="仿宋" w:cs="仿宋"/>
          <w:b/>
          <w:bCs/>
          <w:sz w:val="28"/>
          <w:szCs w:val="28"/>
        </w:rPr>
        <w:t xml:space="preserve">    </w:t>
      </w:r>
      <w:r>
        <w:rPr>
          <w:rFonts w:hint="eastAsia" w:ascii="仿宋" w:hAnsi="仿宋" w:eastAsia="仿宋" w:cs="仿宋"/>
          <w:sz w:val="28"/>
          <w:szCs w:val="28"/>
        </w:rPr>
        <w:t>应届高中毕业生或具有同等学力的学生。</w:t>
      </w:r>
    </w:p>
    <w:p>
      <w:pPr>
        <w:pStyle w:val="2"/>
        <w:spacing w:before="40" w:after="40" w:line="360" w:lineRule="auto"/>
        <w:ind w:firstLine="602" w:firstLineChars="200"/>
        <w:rPr>
          <w:rFonts w:hint="eastAsia" w:ascii="黑体" w:hAnsi="黑体" w:eastAsia="黑体" w:cs="黑体"/>
          <w:sz w:val="30"/>
          <w:szCs w:val="30"/>
        </w:rPr>
      </w:pPr>
      <w:bookmarkStart w:id="3" w:name="_Toc6831"/>
      <w:r>
        <w:rPr>
          <w:rFonts w:hint="eastAsia" w:ascii="黑体" w:hAnsi="黑体" w:eastAsia="黑体" w:cs="黑体"/>
          <w:sz w:val="30"/>
          <w:szCs w:val="30"/>
        </w:rPr>
        <w:t>三、修业年限</w:t>
      </w:r>
      <w:bookmarkEnd w:id="3"/>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基本学制为4年。实行弹性学制，修业年限3～6年。</w:t>
      </w:r>
    </w:p>
    <w:p>
      <w:pPr>
        <w:pStyle w:val="2"/>
        <w:spacing w:before="40" w:after="40" w:line="360" w:lineRule="auto"/>
        <w:ind w:firstLine="602" w:firstLineChars="200"/>
        <w:rPr>
          <w:rFonts w:hint="eastAsia" w:ascii="黑体" w:hAnsi="黑体" w:eastAsia="黑体" w:cs="黑体"/>
          <w:sz w:val="30"/>
          <w:szCs w:val="30"/>
        </w:rPr>
      </w:pPr>
      <w:bookmarkStart w:id="4" w:name="_Toc20765"/>
      <w:r>
        <w:rPr>
          <w:rFonts w:hint="eastAsia" w:ascii="黑体" w:hAnsi="黑体" w:eastAsia="黑体" w:cs="黑体"/>
          <w:sz w:val="30"/>
          <w:szCs w:val="30"/>
        </w:rPr>
        <w:t>四、职业面向</w:t>
      </w:r>
      <w:bookmarkEnd w:id="4"/>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8"/>
        <w:gridCol w:w="1176"/>
        <w:gridCol w:w="1365"/>
        <w:gridCol w:w="1776"/>
        <w:gridCol w:w="1568"/>
        <w:gridCol w:w="1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6" w:hRule="atLeast"/>
        </w:trPr>
        <w:tc>
          <w:tcPr>
            <w:tcW w:w="1058"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所属专</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业大类</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1176"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所属专</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业类</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1365"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对应行业</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1776"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主要职业类别</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1568"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主要岗位群或技术领域举例</w:t>
            </w:r>
          </w:p>
        </w:tc>
        <w:tc>
          <w:tcPr>
            <w:tcW w:w="1573"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职业资格证书和职业技能等级证书举例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8" w:type="dxa"/>
          </w:tcPr>
          <w:p>
            <w:pPr>
              <w:jc w:val="center"/>
              <w:rPr>
                <w:rFonts w:hint="eastAsia" w:ascii="仿宋_GB2312" w:hAnsi="仿宋_GB2312" w:eastAsia="仿宋_GB2312" w:cs="仿宋_GB2312"/>
              </w:rPr>
            </w:pPr>
            <w:r>
              <w:rPr>
                <w:rFonts w:hint="eastAsia" w:ascii="仿宋_GB2312" w:hAnsi="仿宋_GB2312" w:eastAsia="仿宋_GB2312" w:cs="仿宋_GB2312"/>
              </w:rPr>
              <w:t>电子商务类(3307)</w:t>
            </w:r>
          </w:p>
        </w:tc>
        <w:tc>
          <w:tcPr>
            <w:tcW w:w="1176" w:type="dxa"/>
          </w:tcPr>
          <w:p>
            <w:pPr>
              <w:jc w:val="center"/>
              <w:rPr>
                <w:rFonts w:hint="eastAsia" w:ascii="仿宋_GB2312" w:hAnsi="仿宋_GB2312" w:eastAsia="仿宋_GB2312" w:cs="仿宋_GB2312"/>
              </w:rPr>
            </w:pPr>
            <w:r>
              <w:rPr>
                <w:rFonts w:hint="eastAsia" w:ascii="仿宋_GB2312" w:hAnsi="仿宋_GB2312" w:eastAsia="仿宋_GB2312" w:cs="仿宋_GB2312"/>
              </w:rPr>
              <w:t>跨境电子商务(330702)</w:t>
            </w:r>
          </w:p>
        </w:tc>
        <w:tc>
          <w:tcPr>
            <w:tcW w:w="1365" w:type="dxa"/>
          </w:tcPr>
          <w:p>
            <w:pPr>
              <w:jc w:val="center"/>
              <w:rPr>
                <w:rFonts w:hint="eastAsia" w:ascii="仿宋_GB2312" w:hAnsi="仿宋_GB2312" w:eastAsia="仿宋_GB2312" w:cs="仿宋_GB2312"/>
              </w:rPr>
            </w:pPr>
            <w:r>
              <w:rPr>
                <w:rFonts w:hint="eastAsia" w:ascii="仿宋_GB2312" w:hAnsi="仿宋_GB2312" w:eastAsia="仿宋_GB2312" w:cs="仿宋_GB2312"/>
              </w:rPr>
              <w:t>互联网服务；(6439)</w:t>
            </w:r>
          </w:p>
          <w:p>
            <w:pPr>
              <w:jc w:val="center"/>
              <w:rPr>
                <w:rFonts w:hint="eastAsia" w:ascii="仿宋_GB2312" w:hAnsi="仿宋_GB2312" w:eastAsia="仿宋_GB2312" w:cs="仿宋_GB2312"/>
              </w:rPr>
            </w:pPr>
            <w:r>
              <w:rPr>
                <w:rFonts w:hint="eastAsia" w:ascii="仿宋_GB2312" w:hAnsi="仿宋_GB2312" w:eastAsia="仿宋_GB2312" w:cs="仿宋_GB2312"/>
              </w:rPr>
              <w:t>商务服务(7299)</w:t>
            </w:r>
          </w:p>
        </w:tc>
        <w:tc>
          <w:tcPr>
            <w:tcW w:w="1776" w:type="dxa"/>
          </w:tcPr>
          <w:p>
            <w:pPr>
              <w:jc w:val="center"/>
              <w:rPr>
                <w:rFonts w:hint="eastAsia" w:ascii="仿宋_GB2312" w:hAnsi="仿宋_GB2312" w:eastAsia="仿宋_GB2312" w:cs="仿宋_GB2312"/>
              </w:rPr>
            </w:pPr>
            <w:r>
              <w:rPr>
                <w:rFonts w:hint="eastAsia" w:ascii="仿宋_GB2312" w:hAnsi="仿宋_GB2312" w:eastAsia="仿宋_GB2312" w:cs="仿宋_GB2312"/>
              </w:rPr>
              <w:t>电子商务(4-01-02-02);国际商务专业人员(2-06-07-01);市场营销专业人员(2-06-07-02);</w:t>
            </w:r>
          </w:p>
        </w:tc>
        <w:tc>
          <w:tcPr>
            <w:tcW w:w="1568" w:type="dxa"/>
          </w:tcPr>
          <w:p>
            <w:pPr>
              <w:jc w:val="center"/>
              <w:rPr>
                <w:rFonts w:hint="eastAsia" w:ascii="仿宋_GB2312" w:hAnsi="仿宋_GB2312" w:eastAsia="仿宋_GB2312" w:cs="仿宋_GB2312"/>
              </w:rPr>
            </w:pPr>
            <w:r>
              <w:rPr>
                <w:rFonts w:hint="eastAsia" w:ascii="仿宋_GB2312" w:hAnsi="仿宋_GB2312" w:eastAsia="仿宋_GB2312" w:cs="仿宋_GB2312"/>
              </w:rPr>
              <w:t>跨境电子商务运营经理;海外营销经理；跨境数据分析师；跨境电子商务客服经理；跨境物流经理</w:t>
            </w:r>
          </w:p>
        </w:tc>
        <w:tc>
          <w:tcPr>
            <w:tcW w:w="1573" w:type="dxa"/>
          </w:tcPr>
          <w:p>
            <w:pPr>
              <w:jc w:val="center"/>
              <w:rPr>
                <w:rFonts w:hint="eastAsia" w:ascii="仿宋_GB2312" w:hAnsi="仿宋_GB2312" w:eastAsia="仿宋_GB2312" w:cs="仿宋_GB2312"/>
              </w:rPr>
            </w:pPr>
            <w:r>
              <w:rPr>
                <w:rFonts w:hint="eastAsia" w:ascii="仿宋_GB2312" w:hAnsi="仿宋_GB2312" w:eastAsia="仿宋_GB2312" w:cs="仿宋_GB2312"/>
              </w:rPr>
              <w:t>跨境电子商务师;外贸单证员;跨境电商 B2B 数据运营等其他对应的中、高级证书</w:t>
            </w:r>
          </w:p>
        </w:tc>
      </w:tr>
    </w:tbl>
    <w:p>
      <w:pPr>
        <w:pStyle w:val="3"/>
      </w:pPr>
    </w:p>
    <w:p>
      <w:pPr>
        <w:pStyle w:val="2"/>
        <w:spacing w:before="40" w:after="40" w:line="360" w:lineRule="auto"/>
        <w:ind w:firstLine="602" w:firstLineChars="200"/>
        <w:rPr>
          <w:rFonts w:hint="eastAsia" w:ascii="黑体" w:hAnsi="黑体" w:eastAsia="黑体" w:cs="黑体"/>
          <w:sz w:val="30"/>
          <w:szCs w:val="30"/>
        </w:rPr>
      </w:pPr>
      <w:bookmarkStart w:id="5" w:name="_Toc22636"/>
      <w:r>
        <w:rPr>
          <w:rFonts w:hint="eastAsia" w:ascii="黑体" w:hAnsi="黑体" w:eastAsia="黑体" w:cs="黑体"/>
          <w:sz w:val="30"/>
          <w:szCs w:val="30"/>
        </w:rPr>
        <w:t>五、培养目标与培养规格</w:t>
      </w:r>
      <w:bookmarkEnd w:id="5"/>
    </w:p>
    <w:p>
      <w:pPr>
        <w:pStyle w:val="3"/>
        <w:ind w:firstLine="562" w:firstLineChars="200"/>
        <w:rPr>
          <w:rFonts w:hint="eastAsia" w:ascii="仿宋_GB2312" w:hAnsi="仿宋_GB2312" w:eastAsia="仿宋_GB2312" w:cs="仿宋_GB2312"/>
          <w:sz w:val="28"/>
          <w:szCs w:val="36"/>
        </w:rPr>
      </w:pPr>
      <w:bookmarkStart w:id="6" w:name="_Toc27622"/>
      <w:r>
        <w:rPr>
          <w:rFonts w:hint="eastAsia" w:ascii="仿宋_GB2312" w:hAnsi="仿宋_GB2312" w:eastAsia="仿宋_GB2312" w:cs="仿宋_GB2312"/>
          <w:sz w:val="28"/>
          <w:szCs w:val="36"/>
        </w:rPr>
        <w:t>（一）培养目标</w:t>
      </w:r>
      <w:bookmarkEnd w:id="6"/>
    </w:p>
    <w:p>
      <w:pPr>
        <w:ind w:firstLine="560" w:firstLineChars="200"/>
      </w:pPr>
      <w:r>
        <w:rPr>
          <w:rFonts w:hint="eastAsia" w:ascii="仿宋" w:hAnsi="仿宋" w:eastAsia="仿宋" w:cs="仿宋"/>
          <w:sz w:val="28"/>
          <w:szCs w:val="28"/>
        </w:rPr>
        <w:t>本专业面向中国-东盟自由贸易区（CAFTA）和《区域全面经济伙伴关系协定》(RCEP)发展需要，服务东盟跨境高质量发展数智高地建设，依托中国(柳州)跨境电子商务综合试验区，对接汽车工业,聚焦跨境电商技术领域，</w:t>
      </w:r>
      <w:r>
        <w:rPr>
          <w:rFonts w:hint="eastAsia" w:ascii="仿宋" w:hAnsi="仿宋" w:eastAsia="仿宋" w:cs="仿宋"/>
          <w:color w:val="000000" w:themeColor="text1"/>
          <w:sz w:val="28"/>
          <w:szCs w:val="28"/>
          <w14:textFill>
            <w14:solidFill>
              <w14:schemeClr w14:val="tx1"/>
            </w14:solidFill>
          </w14:textFill>
        </w:rPr>
        <w:t>培养德智体美劳全面发展，掌握扎实的科学文化知识和海外营销、数据分析、跨境物流及相关法律法规等知识，具备跨境电商产品开发、跨境电商店铺运营与管理、海外推广与营销、数据分析与优化等能力，能够从事跨境电子商务运营、海外营销、跨境数据分析、跨境电子商务客户管理、跨境物流管理等岗位工作，具备较强的创新创业能力、精益求精的工匠精神、可持续发展能力的“德技兼备，情理双修”的高端技能人才。</w:t>
      </w:r>
    </w:p>
    <w:p>
      <w:pPr>
        <w:pStyle w:val="3"/>
        <w:ind w:firstLine="562" w:firstLineChars="200"/>
        <w:rPr>
          <w:rFonts w:hint="eastAsia" w:ascii="仿宋_GB2312" w:hAnsi="仿宋_GB2312" w:eastAsia="仿宋_GB2312" w:cs="仿宋_GB2312"/>
          <w:sz w:val="28"/>
          <w:szCs w:val="36"/>
        </w:rPr>
      </w:pPr>
      <w:bookmarkStart w:id="7" w:name="_Toc31159"/>
      <w:r>
        <w:rPr>
          <w:rFonts w:hint="eastAsia" w:ascii="仿宋_GB2312" w:hAnsi="仿宋_GB2312" w:eastAsia="仿宋_GB2312" w:cs="仿宋_GB2312"/>
          <w:sz w:val="28"/>
          <w:szCs w:val="36"/>
        </w:rPr>
        <w:t>（二）培养规格</w:t>
      </w:r>
      <w:bookmarkEnd w:id="7"/>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69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3" w:type="dxa"/>
            <w:vAlign w:val="center"/>
          </w:tcPr>
          <w:p>
            <w:pPr>
              <w:adjustRightInd w:val="0"/>
              <w:snapToGrid w:val="0"/>
              <w:spacing w:line="360" w:lineRule="auto"/>
              <w:jc w:val="center"/>
              <w:rPr>
                <w:rFonts w:hint="eastAsia" w:ascii="仿宋" w:hAnsi="仿宋" w:eastAsia="仿宋" w:cs="仿宋"/>
                <w:sz w:val="22"/>
                <w:szCs w:val="22"/>
              </w:rPr>
            </w:pPr>
            <w:r>
              <w:rPr>
                <w:rFonts w:hint="eastAsia" w:ascii="仿宋" w:hAnsi="仿宋" w:eastAsia="仿宋" w:cs="仿宋"/>
                <w:sz w:val="22"/>
                <w:szCs w:val="22"/>
              </w:rPr>
              <w:t>1.素质</w:t>
            </w:r>
          </w:p>
        </w:tc>
        <w:tc>
          <w:tcPr>
            <w:tcW w:w="6913" w:type="dxa"/>
            <w:vAlign w:val="center"/>
          </w:tcPr>
          <w:p>
            <w:pPr>
              <w:pStyle w:val="7"/>
              <w:ind w:firstLine="0"/>
              <w:rPr>
                <w:rFonts w:hint="eastAsia" w:ascii="仿宋" w:hAnsi="仿宋" w:eastAsia="仿宋" w:cs="仿宋"/>
                <w:sz w:val="24"/>
              </w:rPr>
            </w:pPr>
            <w:r>
              <w:rPr>
                <w:rFonts w:hint="eastAsia" w:ascii="仿宋" w:hAnsi="仿宋" w:eastAsia="仿宋" w:cs="仿宋"/>
                <w:sz w:val="24"/>
              </w:rPr>
              <w:t>1.1具有坚定的理想信念、厚植爱国主义情怀，坚守诚信原则；</w:t>
            </w:r>
          </w:p>
          <w:p>
            <w:pPr>
              <w:pStyle w:val="7"/>
              <w:ind w:firstLine="0"/>
              <w:rPr>
                <w:rFonts w:hint="eastAsia" w:ascii="仿宋" w:hAnsi="仿宋" w:eastAsia="仿宋" w:cs="仿宋"/>
                <w:sz w:val="24"/>
              </w:rPr>
            </w:pPr>
            <w:r>
              <w:rPr>
                <w:rFonts w:hint="eastAsia" w:ascii="仿宋" w:hAnsi="仿宋" w:eastAsia="仿宋" w:cs="仿宋"/>
                <w:sz w:val="24"/>
              </w:rPr>
              <w:t>1.2具有良好的职业道德、敬业精神、质量意识、安全意识、信息素养、工匠精神和合作意识；</w:t>
            </w:r>
          </w:p>
          <w:p>
            <w:pPr>
              <w:pStyle w:val="7"/>
              <w:ind w:firstLine="0"/>
              <w:rPr>
                <w:rFonts w:hint="eastAsia" w:ascii="仿宋" w:hAnsi="仿宋" w:eastAsia="仿宋" w:cs="仿宋"/>
                <w:sz w:val="24"/>
              </w:rPr>
            </w:pPr>
            <w:r>
              <w:rPr>
                <w:rFonts w:hint="eastAsia" w:ascii="仿宋" w:hAnsi="仿宋" w:eastAsia="仿宋" w:cs="仿宋"/>
                <w:sz w:val="24"/>
              </w:rPr>
              <w:t>1.3具有国际视野，具备正确的价值观和贸易观；</w:t>
            </w:r>
          </w:p>
          <w:p>
            <w:pPr>
              <w:pStyle w:val="7"/>
              <w:ind w:firstLine="0"/>
              <w:rPr>
                <w:rFonts w:hint="eastAsia" w:ascii="仿宋" w:hAnsi="仿宋" w:eastAsia="仿宋" w:cs="仿宋"/>
                <w:sz w:val="24"/>
              </w:rPr>
            </w:pPr>
            <w:r>
              <w:rPr>
                <w:rFonts w:hint="eastAsia" w:ascii="仿宋" w:hAnsi="仿宋" w:eastAsia="仿宋" w:cs="仿宋"/>
                <w:sz w:val="24"/>
              </w:rPr>
              <w:t>1.4具有一定的艺术修养和人文素养;</w:t>
            </w:r>
          </w:p>
          <w:p>
            <w:pPr>
              <w:pStyle w:val="7"/>
              <w:ind w:firstLine="0"/>
              <w:rPr>
                <w:rFonts w:hint="eastAsia" w:ascii="仿宋" w:hAnsi="仿宋" w:eastAsia="仿宋" w:cs="仿宋"/>
                <w:sz w:val="24"/>
              </w:rPr>
            </w:pPr>
            <w:r>
              <w:rPr>
                <w:rFonts w:hint="eastAsia" w:ascii="仿宋" w:hAnsi="仿宋" w:eastAsia="仿宋" w:cs="仿宋"/>
                <w:sz w:val="24"/>
              </w:rPr>
              <w:t>1.5具有竞争意识和较强的开拓创新精神；</w:t>
            </w:r>
          </w:p>
          <w:p>
            <w:pPr>
              <w:pStyle w:val="7"/>
              <w:ind w:firstLine="0"/>
              <w:rPr>
                <w:rFonts w:hint="eastAsia" w:ascii="仿宋" w:hAnsi="仿宋" w:eastAsia="仿宋" w:cs="仿宋"/>
                <w:sz w:val="24"/>
              </w:rPr>
            </w:pPr>
            <w:r>
              <w:rPr>
                <w:rFonts w:hint="eastAsia" w:ascii="仿宋" w:hAnsi="仿宋" w:eastAsia="仿宋" w:cs="仿宋"/>
                <w:sz w:val="24"/>
              </w:rPr>
              <w:t>1.6具备跨境电商领域的法律法规意识和网络安全防护意识。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3" w:type="dxa"/>
            <w:vAlign w:val="center"/>
          </w:tcPr>
          <w:p>
            <w:pPr>
              <w:adjustRightInd w:val="0"/>
              <w:snapToGrid w:val="0"/>
              <w:spacing w:line="360" w:lineRule="auto"/>
              <w:jc w:val="center"/>
              <w:rPr>
                <w:rFonts w:hint="eastAsia" w:ascii="仿宋" w:hAnsi="仿宋" w:eastAsia="仿宋" w:cs="仿宋"/>
                <w:sz w:val="22"/>
                <w:szCs w:val="22"/>
              </w:rPr>
            </w:pPr>
            <w:r>
              <w:rPr>
                <w:rFonts w:hint="eastAsia" w:ascii="仿宋" w:hAnsi="仿宋" w:eastAsia="仿宋" w:cs="仿宋"/>
                <w:sz w:val="22"/>
                <w:szCs w:val="22"/>
              </w:rPr>
              <w:t>2.知识</w:t>
            </w:r>
          </w:p>
        </w:tc>
        <w:tc>
          <w:tcPr>
            <w:tcW w:w="6913" w:type="dxa"/>
            <w:vAlign w:val="center"/>
          </w:tcPr>
          <w:p>
            <w:pPr>
              <w:pStyle w:val="7"/>
              <w:ind w:firstLine="0"/>
              <w:rPr>
                <w:rFonts w:hint="eastAsia" w:ascii="仿宋" w:hAnsi="仿宋" w:eastAsia="仿宋" w:cs="仿宋"/>
                <w:sz w:val="24"/>
                <w:szCs w:val="24"/>
              </w:rPr>
            </w:pPr>
            <w:r>
              <w:rPr>
                <w:rFonts w:hint="eastAsia" w:ascii="仿宋" w:hAnsi="仿宋" w:eastAsia="仿宋" w:cs="仿宋"/>
                <w:sz w:val="24"/>
                <w:szCs w:val="24"/>
              </w:rPr>
              <w:t>2.1掌握自然科学、社会科学和人文科学等通识类相关知识，了解东盟不同国家和地区的政治、经济、文化和交易习惯等；</w:t>
            </w:r>
          </w:p>
          <w:p>
            <w:pPr>
              <w:pStyle w:val="7"/>
              <w:ind w:firstLine="0"/>
              <w:rPr>
                <w:rFonts w:hint="eastAsia" w:ascii="仿宋" w:hAnsi="仿宋" w:eastAsia="仿宋" w:cs="仿宋"/>
                <w:sz w:val="24"/>
                <w:szCs w:val="24"/>
              </w:rPr>
            </w:pPr>
            <w:r>
              <w:rPr>
                <w:rFonts w:hint="eastAsia" w:ascii="仿宋" w:hAnsi="仿宋" w:eastAsia="仿宋" w:cs="仿宋"/>
                <w:sz w:val="24"/>
                <w:szCs w:val="24"/>
              </w:rPr>
              <w:t>2.2掌握现代管理的基础理论和专业知识，了解网络经济的运作机制和信息技术的最新发展，掌握信息技术基础应用方法；</w:t>
            </w:r>
          </w:p>
          <w:p>
            <w:pPr>
              <w:pStyle w:val="7"/>
              <w:ind w:firstLine="0"/>
              <w:rPr>
                <w:rFonts w:hint="eastAsia" w:ascii="仿宋" w:hAnsi="仿宋" w:eastAsia="仿宋" w:cs="仿宋"/>
                <w:sz w:val="24"/>
                <w:szCs w:val="24"/>
              </w:rPr>
            </w:pPr>
            <w:r>
              <w:rPr>
                <w:rFonts w:hint="eastAsia" w:ascii="仿宋" w:hAnsi="仿宋" w:eastAsia="仿宋" w:cs="仿宋"/>
                <w:sz w:val="24"/>
                <w:szCs w:val="24"/>
              </w:rPr>
              <w:t>2.3掌握跨境电子商务专业理论和方法，了解跨境电商的基本理论、营销策略、政策法规以及大数据和新兴技术的应用；</w:t>
            </w:r>
          </w:p>
          <w:p>
            <w:pPr>
              <w:pStyle w:val="7"/>
              <w:ind w:firstLine="0"/>
              <w:rPr>
                <w:rFonts w:hint="eastAsia" w:ascii="仿宋" w:hAnsi="仿宋" w:eastAsia="仿宋" w:cs="仿宋"/>
                <w:sz w:val="24"/>
                <w:szCs w:val="24"/>
              </w:rPr>
            </w:pPr>
            <w:r>
              <w:rPr>
                <w:rFonts w:hint="eastAsia" w:ascii="仿宋" w:hAnsi="仿宋" w:eastAsia="仿宋" w:cs="仿宋"/>
                <w:sz w:val="24"/>
                <w:szCs w:val="24"/>
              </w:rPr>
              <w:t>2.4掌握跨境电子商务新兴产业动态，注重产业技术创新和商业模式创新并及时掌握相关的理论与技术知识；</w:t>
            </w:r>
          </w:p>
          <w:p>
            <w:pPr>
              <w:pStyle w:val="7"/>
              <w:ind w:firstLine="0"/>
              <w:rPr>
                <w:rFonts w:hint="eastAsia" w:ascii="仿宋" w:hAnsi="仿宋" w:eastAsia="仿宋" w:cs="仿宋"/>
                <w:sz w:val="22"/>
                <w:szCs w:val="22"/>
              </w:rPr>
            </w:pPr>
            <w:r>
              <w:rPr>
                <w:rFonts w:hint="eastAsia" w:ascii="仿宋" w:hAnsi="仿宋" w:eastAsia="仿宋" w:cs="仿宋"/>
                <w:sz w:val="24"/>
                <w:szCs w:val="24"/>
              </w:rPr>
              <w:t>2.5熟悉跨境电子商务相关法律法规，包括东盟国际贸易规则、税收政策、知识产权保护、数据安全与隐私法规等，并了解其对电商运营的影响和合规性要求。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3" w:type="dxa"/>
            <w:vAlign w:val="center"/>
          </w:tcPr>
          <w:p>
            <w:pPr>
              <w:adjustRightInd w:val="0"/>
              <w:snapToGrid w:val="0"/>
              <w:spacing w:line="360" w:lineRule="auto"/>
              <w:jc w:val="center"/>
              <w:rPr>
                <w:rFonts w:hint="eastAsia" w:ascii="仿宋" w:hAnsi="仿宋" w:eastAsia="仿宋" w:cs="仿宋"/>
                <w:sz w:val="22"/>
                <w:szCs w:val="22"/>
              </w:rPr>
            </w:pPr>
            <w:r>
              <w:rPr>
                <w:rFonts w:hint="eastAsia" w:ascii="仿宋" w:hAnsi="仿宋" w:eastAsia="仿宋" w:cs="仿宋"/>
                <w:sz w:val="22"/>
                <w:szCs w:val="22"/>
              </w:rPr>
              <w:t>3.能力</w:t>
            </w:r>
          </w:p>
        </w:tc>
        <w:tc>
          <w:tcPr>
            <w:tcW w:w="6913" w:type="dxa"/>
            <w:vAlign w:val="center"/>
          </w:tcPr>
          <w:p>
            <w:pPr>
              <w:rPr>
                <w:rFonts w:hint="eastAsia" w:ascii="仿宋" w:hAnsi="仿宋" w:eastAsia="仿宋" w:cs="仿宋"/>
                <w:sz w:val="24"/>
              </w:rPr>
            </w:pPr>
            <w:r>
              <w:rPr>
                <w:rFonts w:hint="eastAsia" w:ascii="仿宋" w:hAnsi="仿宋" w:eastAsia="仿宋" w:cs="仿宋"/>
                <w:sz w:val="24"/>
              </w:rPr>
              <w:t>3.1具备跨境产品开发能力，能够进行市场调研、产品定位和选择，以满足东盟不同国家和地区消费者的多样化需求；</w:t>
            </w:r>
          </w:p>
          <w:p>
            <w:pPr>
              <w:rPr>
                <w:rFonts w:hint="eastAsia" w:ascii="仿宋" w:hAnsi="仿宋" w:eastAsia="仿宋" w:cs="仿宋"/>
                <w:sz w:val="24"/>
              </w:rPr>
            </w:pPr>
            <w:r>
              <w:rPr>
                <w:rFonts w:hint="eastAsia" w:ascii="仿宋" w:hAnsi="仿宋" w:eastAsia="仿宋" w:cs="仿宋"/>
                <w:sz w:val="24"/>
              </w:rPr>
              <w:t>3.2具备跨境视觉营销设计能力，能够进行汽车海外品牌视觉识别系统构建、广告创意与营销素材的创新制作；</w:t>
            </w:r>
          </w:p>
          <w:p>
            <w:pPr>
              <w:rPr>
                <w:rFonts w:hint="eastAsia" w:ascii="仿宋" w:hAnsi="仿宋" w:eastAsia="仿宋" w:cs="仿宋"/>
                <w:sz w:val="24"/>
              </w:rPr>
            </w:pPr>
            <w:r>
              <w:rPr>
                <w:rFonts w:hint="eastAsia" w:ascii="仿宋" w:hAnsi="仿宋" w:eastAsia="仿宋" w:cs="仿宋"/>
                <w:sz w:val="24"/>
              </w:rPr>
              <w:t>3.3具备跨境电商店铺运营与管理能力，能够高效解决店铺运营过程中遇到的复杂问题，确保业务流畅运行；</w:t>
            </w:r>
          </w:p>
          <w:p>
            <w:pPr>
              <w:rPr>
                <w:rFonts w:hint="eastAsia" w:ascii="仿宋" w:hAnsi="仿宋" w:eastAsia="仿宋" w:cs="仿宋"/>
                <w:sz w:val="24"/>
              </w:rPr>
            </w:pPr>
            <w:r>
              <w:rPr>
                <w:rFonts w:hint="eastAsia" w:ascii="仿宋" w:hAnsi="仿宋" w:eastAsia="仿宋" w:cs="仿宋"/>
                <w:sz w:val="24"/>
              </w:rPr>
              <w:t>3.4具备跨文化沟通技巧和客户服务管理能力，能够高效维护海外客户关系，提供优质的售后服务和专业的投诉解决方案，维护长期稳定的客户关系；</w:t>
            </w:r>
          </w:p>
          <w:p>
            <w:pPr>
              <w:rPr>
                <w:rFonts w:hint="eastAsia" w:ascii="仿宋" w:hAnsi="仿宋" w:eastAsia="仿宋" w:cs="仿宋"/>
                <w:sz w:val="24"/>
              </w:rPr>
            </w:pPr>
            <w:r>
              <w:rPr>
                <w:rFonts w:hint="eastAsia" w:ascii="仿宋" w:hAnsi="仿宋" w:eastAsia="仿宋" w:cs="仿宋"/>
                <w:sz w:val="24"/>
              </w:rPr>
              <w:t>3.5具备跨境物流与供应链管理能力，能够进行物流方案规划、库存控制、商品通关和供应链协调；</w:t>
            </w:r>
          </w:p>
          <w:p>
            <w:pPr>
              <w:rPr>
                <w:rFonts w:hint="eastAsia" w:ascii="仿宋" w:hAnsi="仿宋" w:eastAsia="仿宋" w:cs="仿宋"/>
                <w:sz w:val="24"/>
              </w:rPr>
            </w:pPr>
            <w:r>
              <w:rPr>
                <w:rFonts w:hint="eastAsia" w:ascii="仿宋" w:hAnsi="仿宋" w:eastAsia="仿宋" w:cs="仿宋"/>
                <w:sz w:val="24"/>
              </w:rPr>
              <w:t>3.6具备海外推广与营销能力，能够运用多渠道营销策略和工具进行汽车品牌推广和产品营销；</w:t>
            </w:r>
          </w:p>
          <w:p>
            <w:pPr>
              <w:rPr>
                <w:rFonts w:hint="eastAsia" w:ascii="仿宋" w:hAnsi="仿宋" w:eastAsia="仿宋" w:cs="仿宋"/>
                <w:sz w:val="22"/>
                <w:szCs w:val="22"/>
              </w:rPr>
            </w:pPr>
            <w:r>
              <w:rPr>
                <w:rFonts w:hint="eastAsia" w:ascii="仿宋" w:hAnsi="仿宋" w:eastAsia="仿宋" w:cs="仿宋"/>
                <w:sz w:val="24"/>
              </w:rPr>
              <w:t>3.7具备跨境数据分析与优化能力，能够运用数据分析工具进行数据抓取和分析、市场趋势预测、消费者行为分析和效果评估，并根据数据优化运营和营销策略。</w:t>
            </w:r>
          </w:p>
        </w:tc>
      </w:tr>
    </w:tbl>
    <w:p/>
    <w:p>
      <w:pPr>
        <w:pStyle w:val="2"/>
        <w:spacing w:before="40" w:after="40" w:line="360" w:lineRule="auto"/>
        <w:ind w:firstLine="602" w:firstLineChars="200"/>
        <w:rPr>
          <w:rFonts w:hint="eastAsia" w:ascii="黑体" w:hAnsi="黑体" w:eastAsia="黑体" w:cs="黑体"/>
          <w:sz w:val="30"/>
          <w:szCs w:val="30"/>
        </w:rPr>
      </w:pPr>
      <w:bookmarkStart w:id="8" w:name="_Toc27196"/>
      <w:r>
        <w:rPr>
          <w:rFonts w:hint="eastAsia" w:ascii="黑体" w:hAnsi="黑体" w:eastAsia="黑体" w:cs="黑体"/>
          <w:sz w:val="30"/>
          <w:szCs w:val="30"/>
        </w:rPr>
        <w:t>六、课程设置及要求</w:t>
      </w:r>
      <w:bookmarkEnd w:id="8"/>
    </w:p>
    <w:p>
      <w:pPr>
        <w:pStyle w:val="3"/>
        <w:ind w:firstLine="562" w:firstLineChars="200"/>
        <w:rPr>
          <w:rFonts w:hint="eastAsia" w:ascii="仿宋_GB2312" w:hAnsi="仿宋_GB2312" w:eastAsia="仿宋_GB2312" w:cs="仿宋_GB2312"/>
          <w:sz w:val="28"/>
          <w:szCs w:val="36"/>
        </w:rPr>
      </w:pPr>
      <w:bookmarkStart w:id="9" w:name="_Toc12977"/>
      <w:r>
        <w:rPr>
          <w:rFonts w:hint="eastAsia" w:ascii="仿宋_GB2312" w:hAnsi="仿宋_GB2312" w:eastAsia="仿宋_GB2312" w:cs="仿宋_GB2312"/>
          <w:sz w:val="28"/>
          <w:szCs w:val="36"/>
        </w:rPr>
        <w:t>（一）课程体系</w:t>
      </w:r>
      <w:bookmarkEnd w:id="9"/>
    </w:p>
    <w:p>
      <w:pPr>
        <w:pStyle w:val="7"/>
        <w:rPr>
          <w:rFonts w:hint="eastAsia" w:ascii="仿宋" w:hAnsi="仿宋" w:eastAsia="仿宋" w:cs="仿宋"/>
          <w:sz w:val="30"/>
          <w:szCs w:val="30"/>
        </w:rPr>
      </w:pPr>
      <w:r>
        <w:rPr>
          <w:rFonts w:hint="eastAsia" w:ascii="仿宋" w:hAnsi="仿宋" w:eastAsia="仿宋" w:cs="仿宋"/>
          <w:sz w:val="30"/>
          <w:szCs w:val="30"/>
        </w:rPr>
        <w:t>1.课程体系结构</w:t>
      </w:r>
    </w:p>
    <w:p>
      <w:pPr>
        <w:adjustRightInd w:val="0"/>
        <w:snapToGrid w:val="0"/>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对标汽车产业升级带来的跨境电商国际化人才需求的变化，根据电子商务类学科知识基本要求，对接跨境电子商务师岗位能力标准，按照学科基础知识的逻辑顺序和学生认知发展的水平，聚焦跨境电子商务产品开发、店铺运营与管理、海外推广与营销、数据分析与优化四大核心能力，系统构建具有“汽车工业+东盟+数字技术”特色的模块化课程体系。专业核心课程实行校企双导师制，课程载体均来自于汽车制造企业，课程评价以企业项目考核方式为主，推进人才创新创业，彰显职业本科特色。</w:t>
      </w:r>
    </w:p>
    <w:p>
      <w:pPr>
        <w:adjustRightInd w:val="0"/>
        <w:snapToGrid w:val="0"/>
        <w:ind w:left="1" w:leftChars="-294" w:hanging="618" w:hangingChars="221"/>
        <w:jc w:val="center"/>
        <w:rPr>
          <w:rFonts w:hint="eastAsia" w:ascii="仿宋" w:hAnsi="仿宋" w:eastAsia="仿宋" w:cs="仿宋"/>
          <w:sz w:val="28"/>
          <w:szCs w:val="28"/>
        </w:rPr>
      </w:pPr>
      <w:r>
        <w:rPr>
          <w:rFonts w:hint="eastAsia" w:ascii="仿宋" w:hAnsi="仿宋" w:eastAsia="仿宋" w:cs="仿宋"/>
          <w:sz w:val="28"/>
          <w:szCs w:val="28"/>
        </w:rPr>
        <w:drawing>
          <wp:inline distT="0" distB="0" distL="114300" distR="114300">
            <wp:extent cx="6102350" cy="5358130"/>
            <wp:effectExtent l="0" t="0" r="0" b="0"/>
            <wp:docPr id="8" name="图片 8" descr="C:/Users/abcwx/Desktop/课程体系图（新）25.7.9.png课程体系图（新）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bcwx/Desktop/课程体系图（新）25.7.9.png课程体系图（新）25.7.9"/>
                    <pic:cNvPicPr>
                      <a:picLocks noChangeAspect="1"/>
                    </pic:cNvPicPr>
                  </pic:nvPicPr>
                  <pic:blipFill>
                    <a:blip r:embed="rId8"/>
                    <a:srcRect l="676" r="676"/>
                    <a:stretch>
                      <a:fillRect/>
                    </a:stretch>
                  </pic:blipFill>
                  <pic:spPr>
                    <a:xfrm>
                      <a:off x="0" y="0"/>
                      <a:ext cx="6102350" cy="5358130"/>
                    </a:xfrm>
                    <a:prstGeom prst="rect">
                      <a:avLst/>
                    </a:prstGeom>
                  </pic:spPr>
                </pic:pic>
              </a:graphicData>
            </a:graphic>
          </wp:inline>
        </w:drawing>
      </w:r>
    </w:p>
    <w:p>
      <w:pPr>
        <w:pStyle w:val="7"/>
        <w:spacing w:after="159" w:afterLines="50" w:line="360" w:lineRule="auto"/>
        <w:ind w:firstLine="0"/>
        <w:jc w:val="center"/>
        <w:rPr>
          <w:rFonts w:hint="eastAsia" w:ascii="仿宋" w:hAnsi="仿宋" w:eastAsia="仿宋" w:cs="仿宋"/>
          <w:b/>
          <w:bCs/>
          <w:sz w:val="24"/>
          <w:szCs w:val="24"/>
        </w:rPr>
      </w:pPr>
      <w:r>
        <w:rPr>
          <w:rFonts w:hint="eastAsia" w:ascii="仿宋" w:hAnsi="仿宋" w:eastAsia="仿宋" w:cs="仿宋"/>
          <w:b/>
          <w:bCs/>
          <w:sz w:val="24"/>
          <w:szCs w:val="24"/>
        </w:rPr>
        <w:t>图6-1 跨境电子商务专业课程体系</w:t>
      </w:r>
      <w:r>
        <w:rPr>
          <w:rFonts w:hint="eastAsia" w:ascii="仿宋" w:hAnsi="仿宋" w:eastAsia="仿宋" w:cs="仿宋"/>
          <w:b/>
          <w:bCs/>
          <w:color w:val="000000" w:themeColor="text1"/>
          <w:sz w:val="24"/>
          <w:szCs w:val="24"/>
          <w14:textFill>
            <w14:solidFill>
              <w14:schemeClr w14:val="tx1"/>
            </w14:solidFill>
          </w14:textFill>
        </w:rPr>
        <w:t>拓扑图</w:t>
      </w:r>
    </w:p>
    <w:p>
      <w:pPr>
        <w:rPr>
          <w:rFonts w:hint="eastAsia" w:ascii="仿宋" w:hAnsi="仿宋" w:eastAsia="仿宋" w:cs="仿宋"/>
          <w:sz w:val="30"/>
          <w:szCs w:val="30"/>
        </w:rPr>
      </w:pPr>
      <w:r>
        <w:rPr>
          <w:rFonts w:hint="eastAsia" w:ascii="仿宋" w:hAnsi="仿宋" w:eastAsia="仿宋" w:cs="仿宋"/>
          <w:sz w:val="30"/>
          <w:szCs w:val="30"/>
        </w:rPr>
        <w:br w:type="page"/>
      </w:r>
    </w:p>
    <w:p>
      <w:pPr>
        <w:pStyle w:val="7"/>
        <w:rPr>
          <w:rFonts w:hint="eastAsia" w:ascii="仿宋" w:hAnsi="仿宋" w:eastAsia="仿宋" w:cs="仿宋"/>
          <w:sz w:val="30"/>
          <w:szCs w:val="30"/>
        </w:rPr>
        <w:sectPr>
          <w:footerReference r:id="rId4" w:type="default"/>
          <w:pgSz w:w="11906" w:h="16838"/>
          <w:pgMar w:top="1440" w:right="1803" w:bottom="1440" w:left="1803" w:header="851" w:footer="992" w:gutter="0"/>
          <w:pgNumType w:fmt="decimal" w:start="1"/>
          <w:cols w:space="0" w:num="1"/>
          <w:docGrid w:type="lines" w:linePitch="319" w:charSpace="0"/>
        </w:sectPr>
      </w:pPr>
    </w:p>
    <w:p>
      <w:pPr>
        <w:pStyle w:val="7"/>
        <w:rPr>
          <w:rFonts w:hint="eastAsia" w:ascii="仿宋" w:hAnsi="仿宋" w:eastAsia="仿宋" w:cs="仿宋"/>
          <w:sz w:val="30"/>
          <w:szCs w:val="30"/>
        </w:rPr>
      </w:pPr>
      <w:r>
        <w:rPr>
          <w:rFonts w:hint="eastAsia" w:ascii="仿宋" w:hAnsi="仿宋" w:eastAsia="仿宋" w:cs="仿宋"/>
          <w:sz w:val="30"/>
          <w:szCs w:val="30"/>
        </w:rPr>
        <w:t>2.课程矩阵</w:t>
      </w:r>
    </w:p>
    <w:p>
      <w:pPr>
        <w:pStyle w:val="7"/>
        <w:rPr>
          <w:rFonts w:hint="eastAsia" w:ascii="仿宋" w:hAnsi="仿宋" w:eastAsia="仿宋" w:cs="仿宋"/>
          <w:sz w:val="30"/>
          <w:szCs w:val="30"/>
        </w:rPr>
      </w:pPr>
      <w:r>
        <w:rPr>
          <w:rFonts w:hint="eastAsia" w:ascii="仿宋" w:hAnsi="仿宋" w:eastAsia="仿宋" w:cs="仿宋"/>
        </w:rPr>
        <w:t>用课程矩阵的方式呈现各门课程对培养规格实现的支撑度。包含通识课和专业课。</w:t>
      </w:r>
    </w:p>
    <w:p>
      <w:pPr>
        <w:pStyle w:val="25"/>
        <w:adjustRightInd w:val="0"/>
        <w:snapToGrid w:val="0"/>
        <w:spacing w:line="360" w:lineRule="auto"/>
        <w:ind w:firstLine="442"/>
        <w:jc w:val="center"/>
        <w:rPr>
          <w:rFonts w:hint="eastAsia" w:ascii="仿宋" w:hAnsi="仿宋" w:eastAsia="仿宋" w:cs="仿宋"/>
          <w:b/>
          <w:bCs/>
          <w:sz w:val="22"/>
          <w:szCs w:val="22"/>
        </w:rPr>
      </w:pPr>
      <w:r>
        <w:rPr>
          <w:rFonts w:hint="eastAsia" w:ascii="仿宋" w:hAnsi="仿宋" w:eastAsia="仿宋" w:cs="仿宋"/>
          <w:b/>
          <w:bCs/>
          <w:sz w:val="22"/>
          <w:szCs w:val="22"/>
        </w:rPr>
        <w:t>表6-1：通识课课程矩阵</w:t>
      </w:r>
    </w:p>
    <w:tbl>
      <w:tblPr>
        <w:tblStyle w:val="15"/>
        <w:tblpPr w:leftFromText="180" w:rightFromText="180" w:vertAnchor="text" w:horzAnchor="page" w:tblpX="1096" w:tblpY="420"/>
        <w:tblOverlap w:val="never"/>
        <w:tblW w:w="546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3"/>
        <w:gridCol w:w="3231"/>
        <w:gridCol w:w="648"/>
        <w:gridCol w:w="648"/>
        <w:gridCol w:w="648"/>
        <w:gridCol w:w="648"/>
        <w:gridCol w:w="648"/>
        <w:gridCol w:w="648"/>
        <w:gridCol w:w="648"/>
        <w:gridCol w:w="648"/>
        <w:gridCol w:w="648"/>
        <w:gridCol w:w="648"/>
        <w:gridCol w:w="648"/>
        <w:gridCol w:w="647"/>
        <w:gridCol w:w="647"/>
        <w:gridCol w:w="647"/>
        <w:gridCol w:w="647"/>
        <w:gridCol w:w="647"/>
        <w:gridCol w:w="647"/>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1229" w:type="pct"/>
            <w:gridSpan w:val="2"/>
            <w:tcBorders>
              <w:tl2br w:val="single" w:color="auto" w:sz="4" w:space="0"/>
            </w:tcBorders>
          </w:tcPr>
          <w:p>
            <w:pPr>
              <w:pStyle w:val="26"/>
              <w:jc w:val="right"/>
              <w:rPr>
                <w:rFonts w:ascii="Times New Roman" w:hAnsi="Times New Roman" w:eastAsia="仿宋" w:cs="Times New Roman"/>
                <w:b/>
                <w:bCs/>
              </w:rPr>
            </w:pPr>
            <w:r>
              <w:rPr>
                <w:rFonts w:ascii="Times New Roman" w:hAnsi="Times New Roman" w:eastAsia="仿宋" w:cs="Times New Roman"/>
                <w:b/>
                <w:bCs/>
              </w:rPr>
              <w:t>培养规格</w:t>
            </w:r>
          </w:p>
          <w:p>
            <w:pPr>
              <w:pStyle w:val="26"/>
              <w:rPr>
                <w:rFonts w:ascii="Times New Roman" w:hAnsi="Times New Roman" w:eastAsia="仿宋" w:cs="Times New Roman"/>
              </w:rPr>
            </w:pPr>
            <w:r>
              <w:rPr>
                <w:rFonts w:ascii="Times New Roman" w:hAnsi="Times New Roman" w:eastAsia="仿宋" w:cs="Times New Roman"/>
                <w:b/>
                <w:bCs/>
              </w:rPr>
              <w:t>课程名</w:t>
            </w:r>
            <w:r>
              <w:rPr>
                <w:rFonts w:ascii="Times New Roman" w:hAnsi="Times New Roman" w:eastAsia="仿宋" w:cs="Times New Roman"/>
              </w:rPr>
              <w:t>称</w:t>
            </w:r>
          </w:p>
        </w:tc>
        <w:tc>
          <w:tcPr>
            <w:tcW w:w="209" w:type="pct"/>
            <w:vAlign w:val="center"/>
          </w:tcPr>
          <w:p>
            <w:pPr>
              <w:widowControl/>
              <w:jc w:val="center"/>
              <w:textAlignment w:val="center"/>
              <w:rPr>
                <w:rFonts w:ascii="Times New Roman" w:hAnsi="Times New Roman" w:eastAsia="仿宋_GB2312" w:cs="Times New Roman"/>
                <w:b/>
                <w:bCs/>
                <w:color w:val="000000"/>
                <w:kern w:val="0"/>
                <w:sz w:val="20"/>
                <w:szCs w:val="20"/>
                <w:lang w:bidi="ar"/>
              </w:rPr>
            </w:pPr>
            <w:r>
              <w:rPr>
                <w:rFonts w:ascii="Times New Roman" w:hAnsi="Times New Roman" w:eastAsia="仿宋_GB2312" w:cs="Times New Roman"/>
                <w:b/>
                <w:bCs/>
                <w:color w:val="000000"/>
                <w:kern w:val="0"/>
                <w:sz w:val="20"/>
                <w:szCs w:val="20"/>
                <w:lang w:bidi="ar"/>
              </w:rPr>
              <w:t>1.1</w:t>
            </w:r>
          </w:p>
        </w:tc>
        <w:tc>
          <w:tcPr>
            <w:tcW w:w="209" w:type="pct"/>
            <w:vAlign w:val="center"/>
          </w:tcPr>
          <w:p>
            <w:pPr>
              <w:widowControl/>
              <w:jc w:val="center"/>
              <w:textAlignment w:val="center"/>
              <w:rPr>
                <w:rFonts w:ascii="Times New Roman" w:hAnsi="Times New Roman" w:eastAsia="仿宋_GB2312" w:cs="Times New Roman"/>
                <w:b/>
                <w:bCs/>
                <w:color w:val="000000"/>
                <w:kern w:val="0"/>
                <w:sz w:val="20"/>
                <w:szCs w:val="20"/>
                <w:lang w:bidi="ar"/>
              </w:rPr>
            </w:pPr>
            <w:r>
              <w:rPr>
                <w:rFonts w:ascii="Times New Roman" w:hAnsi="Times New Roman" w:eastAsia="仿宋_GB2312" w:cs="Times New Roman"/>
                <w:b/>
                <w:bCs/>
                <w:color w:val="000000"/>
                <w:kern w:val="0"/>
                <w:sz w:val="20"/>
                <w:szCs w:val="20"/>
                <w:lang w:bidi="ar"/>
              </w:rPr>
              <w:t>1.2</w:t>
            </w:r>
          </w:p>
        </w:tc>
        <w:tc>
          <w:tcPr>
            <w:tcW w:w="209" w:type="pct"/>
            <w:vAlign w:val="center"/>
          </w:tcPr>
          <w:p>
            <w:pPr>
              <w:widowControl/>
              <w:jc w:val="center"/>
              <w:textAlignment w:val="center"/>
              <w:rPr>
                <w:rFonts w:ascii="Times New Roman" w:hAnsi="Times New Roman" w:eastAsia="仿宋_GB2312" w:cs="Times New Roman"/>
                <w:b/>
                <w:bCs/>
                <w:color w:val="000000"/>
                <w:kern w:val="0"/>
                <w:sz w:val="20"/>
                <w:szCs w:val="20"/>
                <w:lang w:bidi="ar"/>
              </w:rPr>
            </w:pPr>
            <w:r>
              <w:rPr>
                <w:rFonts w:ascii="Times New Roman" w:hAnsi="Times New Roman" w:eastAsia="仿宋_GB2312" w:cs="Times New Roman"/>
                <w:b/>
                <w:bCs/>
                <w:color w:val="000000"/>
                <w:kern w:val="0"/>
                <w:sz w:val="20"/>
                <w:szCs w:val="20"/>
                <w:lang w:bidi="ar"/>
              </w:rPr>
              <w:t>1.3</w:t>
            </w:r>
          </w:p>
        </w:tc>
        <w:tc>
          <w:tcPr>
            <w:tcW w:w="209" w:type="pct"/>
            <w:vAlign w:val="center"/>
          </w:tcPr>
          <w:p>
            <w:pPr>
              <w:widowControl/>
              <w:jc w:val="center"/>
              <w:textAlignment w:val="center"/>
              <w:rPr>
                <w:rFonts w:ascii="Times New Roman" w:hAnsi="Times New Roman" w:eastAsia="仿宋_GB2312" w:cs="Times New Roman"/>
                <w:b/>
                <w:bCs/>
                <w:color w:val="000000"/>
                <w:kern w:val="0"/>
                <w:sz w:val="20"/>
                <w:szCs w:val="20"/>
                <w:lang w:bidi="ar"/>
              </w:rPr>
            </w:pPr>
            <w:r>
              <w:rPr>
                <w:rFonts w:ascii="Times New Roman" w:hAnsi="Times New Roman" w:eastAsia="仿宋_GB2312" w:cs="Times New Roman"/>
                <w:b/>
                <w:bCs/>
                <w:color w:val="000000"/>
                <w:kern w:val="0"/>
                <w:sz w:val="20"/>
                <w:szCs w:val="20"/>
                <w:lang w:bidi="ar"/>
              </w:rPr>
              <w:t>1.4</w:t>
            </w:r>
          </w:p>
        </w:tc>
        <w:tc>
          <w:tcPr>
            <w:tcW w:w="209" w:type="pct"/>
            <w:vAlign w:val="center"/>
          </w:tcPr>
          <w:p>
            <w:pPr>
              <w:widowControl/>
              <w:jc w:val="center"/>
              <w:textAlignment w:val="center"/>
              <w:rPr>
                <w:rFonts w:ascii="Times New Roman" w:hAnsi="Times New Roman" w:eastAsia="仿宋_GB2312" w:cs="Times New Roman"/>
                <w:b/>
                <w:bCs/>
                <w:color w:val="000000"/>
                <w:kern w:val="0"/>
                <w:sz w:val="20"/>
                <w:szCs w:val="20"/>
                <w:lang w:bidi="ar"/>
              </w:rPr>
            </w:pPr>
            <w:r>
              <w:rPr>
                <w:rFonts w:ascii="Times New Roman" w:hAnsi="Times New Roman" w:eastAsia="仿宋_GB2312" w:cs="Times New Roman"/>
                <w:b/>
                <w:bCs/>
                <w:color w:val="000000"/>
                <w:kern w:val="0"/>
                <w:sz w:val="20"/>
                <w:szCs w:val="20"/>
                <w:lang w:bidi="ar"/>
              </w:rPr>
              <w:t>1.5</w:t>
            </w:r>
          </w:p>
        </w:tc>
        <w:tc>
          <w:tcPr>
            <w:tcW w:w="209" w:type="pct"/>
            <w:vAlign w:val="center"/>
          </w:tcPr>
          <w:p>
            <w:pPr>
              <w:widowControl/>
              <w:jc w:val="center"/>
              <w:textAlignment w:val="center"/>
              <w:rPr>
                <w:rFonts w:ascii="Times New Roman" w:hAnsi="Times New Roman" w:eastAsia="仿宋_GB2312" w:cs="Times New Roman"/>
                <w:b/>
                <w:bCs/>
                <w:color w:val="000000"/>
                <w:kern w:val="0"/>
                <w:sz w:val="20"/>
                <w:szCs w:val="20"/>
                <w:lang w:bidi="ar"/>
              </w:rPr>
            </w:pPr>
            <w:r>
              <w:rPr>
                <w:rFonts w:hint="eastAsia" w:ascii="Times New Roman" w:hAnsi="Times New Roman" w:eastAsia="仿宋_GB2312" w:cs="Times New Roman"/>
                <w:b/>
                <w:bCs/>
                <w:color w:val="000000"/>
                <w:kern w:val="0"/>
                <w:sz w:val="20"/>
                <w:szCs w:val="20"/>
                <w:lang w:bidi="ar"/>
              </w:rPr>
              <w:t>1.6</w:t>
            </w:r>
          </w:p>
        </w:tc>
        <w:tc>
          <w:tcPr>
            <w:tcW w:w="209" w:type="pct"/>
            <w:vAlign w:val="center"/>
          </w:tcPr>
          <w:p>
            <w:pPr>
              <w:widowControl/>
              <w:jc w:val="center"/>
              <w:textAlignment w:val="center"/>
              <w:rPr>
                <w:rFonts w:ascii="Times New Roman" w:hAnsi="Times New Roman" w:eastAsia="仿宋_GB2312" w:cs="Times New Roman"/>
                <w:b/>
                <w:bCs/>
                <w:color w:val="000000"/>
                <w:kern w:val="0"/>
                <w:sz w:val="20"/>
                <w:szCs w:val="20"/>
                <w:lang w:bidi="ar"/>
              </w:rPr>
            </w:pPr>
            <w:r>
              <w:rPr>
                <w:rFonts w:ascii="Times New Roman" w:hAnsi="Times New Roman" w:eastAsia="仿宋_GB2312" w:cs="Times New Roman"/>
                <w:b/>
                <w:bCs/>
                <w:color w:val="000000"/>
                <w:kern w:val="0"/>
                <w:sz w:val="20"/>
                <w:szCs w:val="20"/>
                <w:lang w:bidi="ar"/>
              </w:rPr>
              <w:t>2.1</w:t>
            </w:r>
          </w:p>
        </w:tc>
        <w:tc>
          <w:tcPr>
            <w:tcW w:w="209" w:type="pct"/>
            <w:vAlign w:val="center"/>
          </w:tcPr>
          <w:p>
            <w:pPr>
              <w:widowControl/>
              <w:jc w:val="center"/>
              <w:textAlignment w:val="center"/>
              <w:rPr>
                <w:rFonts w:ascii="Times New Roman" w:hAnsi="Times New Roman" w:eastAsia="仿宋_GB2312" w:cs="Times New Roman"/>
                <w:b/>
                <w:bCs/>
                <w:color w:val="000000"/>
                <w:kern w:val="0"/>
                <w:sz w:val="20"/>
                <w:szCs w:val="20"/>
                <w:lang w:bidi="ar"/>
              </w:rPr>
            </w:pPr>
            <w:r>
              <w:rPr>
                <w:rFonts w:ascii="Times New Roman" w:hAnsi="Times New Roman" w:eastAsia="仿宋_GB2312" w:cs="Times New Roman"/>
                <w:b/>
                <w:bCs/>
                <w:color w:val="000000"/>
                <w:kern w:val="0"/>
                <w:sz w:val="20"/>
                <w:szCs w:val="20"/>
                <w:lang w:bidi="ar"/>
              </w:rPr>
              <w:t>2.2</w:t>
            </w:r>
          </w:p>
        </w:tc>
        <w:tc>
          <w:tcPr>
            <w:tcW w:w="209" w:type="pct"/>
            <w:vAlign w:val="center"/>
          </w:tcPr>
          <w:p>
            <w:pPr>
              <w:widowControl/>
              <w:jc w:val="center"/>
              <w:textAlignment w:val="center"/>
              <w:rPr>
                <w:rFonts w:ascii="Times New Roman" w:hAnsi="Times New Roman" w:eastAsia="仿宋_GB2312" w:cs="Times New Roman"/>
                <w:b/>
                <w:bCs/>
                <w:color w:val="000000"/>
                <w:kern w:val="0"/>
                <w:sz w:val="20"/>
                <w:szCs w:val="20"/>
                <w:lang w:bidi="ar"/>
              </w:rPr>
            </w:pPr>
            <w:r>
              <w:rPr>
                <w:rFonts w:ascii="Times New Roman" w:hAnsi="Times New Roman" w:eastAsia="仿宋_GB2312" w:cs="Times New Roman"/>
                <w:b/>
                <w:bCs/>
                <w:color w:val="000000"/>
                <w:kern w:val="0"/>
                <w:sz w:val="20"/>
                <w:szCs w:val="20"/>
                <w:lang w:bidi="ar"/>
              </w:rPr>
              <w:t>2.3</w:t>
            </w:r>
          </w:p>
        </w:tc>
        <w:tc>
          <w:tcPr>
            <w:tcW w:w="209" w:type="pct"/>
            <w:vAlign w:val="center"/>
          </w:tcPr>
          <w:p>
            <w:pPr>
              <w:widowControl/>
              <w:jc w:val="center"/>
              <w:textAlignment w:val="center"/>
              <w:rPr>
                <w:rFonts w:ascii="Times New Roman" w:hAnsi="Times New Roman" w:eastAsia="仿宋_GB2312" w:cs="Times New Roman"/>
                <w:b/>
                <w:bCs/>
                <w:color w:val="000000"/>
                <w:kern w:val="0"/>
                <w:sz w:val="20"/>
                <w:szCs w:val="20"/>
                <w:lang w:bidi="ar"/>
              </w:rPr>
            </w:pPr>
            <w:r>
              <w:rPr>
                <w:rFonts w:ascii="Times New Roman" w:hAnsi="Times New Roman" w:eastAsia="仿宋_GB2312" w:cs="Times New Roman"/>
                <w:b/>
                <w:bCs/>
                <w:color w:val="000000"/>
                <w:kern w:val="0"/>
                <w:sz w:val="20"/>
                <w:szCs w:val="20"/>
                <w:lang w:bidi="ar"/>
              </w:rPr>
              <w:t>2.4</w:t>
            </w:r>
          </w:p>
        </w:tc>
        <w:tc>
          <w:tcPr>
            <w:tcW w:w="209" w:type="pct"/>
            <w:vAlign w:val="center"/>
          </w:tcPr>
          <w:p>
            <w:pPr>
              <w:widowControl/>
              <w:jc w:val="center"/>
              <w:textAlignment w:val="center"/>
              <w:rPr>
                <w:rFonts w:ascii="Times New Roman" w:hAnsi="Times New Roman" w:eastAsia="仿宋_GB2312" w:cs="Times New Roman"/>
                <w:b/>
                <w:bCs/>
                <w:color w:val="000000"/>
                <w:kern w:val="0"/>
                <w:sz w:val="20"/>
                <w:szCs w:val="20"/>
                <w:lang w:bidi="ar"/>
              </w:rPr>
            </w:pPr>
            <w:r>
              <w:rPr>
                <w:rFonts w:ascii="Times New Roman" w:hAnsi="Times New Roman" w:eastAsia="仿宋_GB2312" w:cs="Times New Roman"/>
                <w:b/>
                <w:bCs/>
                <w:color w:val="000000"/>
                <w:kern w:val="0"/>
                <w:sz w:val="20"/>
                <w:szCs w:val="20"/>
                <w:lang w:bidi="ar"/>
              </w:rPr>
              <w:t>2.5</w:t>
            </w:r>
          </w:p>
        </w:tc>
        <w:tc>
          <w:tcPr>
            <w:tcW w:w="209" w:type="pct"/>
            <w:vAlign w:val="center"/>
          </w:tcPr>
          <w:p>
            <w:pPr>
              <w:widowControl/>
              <w:jc w:val="center"/>
              <w:textAlignment w:val="center"/>
              <w:rPr>
                <w:rFonts w:ascii="Times New Roman" w:hAnsi="Times New Roman" w:eastAsia="仿宋_GB2312" w:cs="Times New Roman"/>
                <w:b/>
                <w:bCs/>
                <w:color w:val="000000"/>
                <w:kern w:val="0"/>
                <w:sz w:val="20"/>
                <w:szCs w:val="20"/>
                <w:lang w:bidi="ar"/>
              </w:rPr>
            </w:pPr>
            <w:r>
              <w:rPr>
                <w:rFonts w:ascii="Times New Roman" w:hAnsi="Times New Roman" w:eastAsia="仿宋_GB2312" w:cs="Times New Roman"/>
                <w:b/>
                <w:bCs/>
                <w:color w:val="000000"/>
                <w:kern w:val="0"/>
                <w:sz w:val="20"/>
                <w:szCs w:val="20"/>
                <w:lang w:bidi="ar"/>
              </w:rPr>
              <w:t>3.1</w:t>
            </w:r>
          </w:p>
        </w:tc>
        <w:tc>
          <w:tcPr>
            <w:tcW w:w="209" w:type="pct"/>
            <w:vAlign w:val="center"/>
          </w:tcPr>
          <w:p>
            <w:pPr>
              <w:widowControl/>
              <w:jc w:val="center"/>
              <w:textAlignment w:val="center"/>
              <w:rPr>
                <w:rFonts w:ascii="Times New Roman" w:hAnsi="Times New Roman" w:eastAsia="仿宋_GB2312" w:cs="Times New Roman"/>
                <w:b/>
                <w:bCs/>
                <w:color w:val="000000"/>
                <w:kern w:val="0"/>
                <w:sz w:val="20"/>
                <w:szCs w:val="20"/>
                <w:lang w:bidi="ar"/>
              </w:rPr>
            </w:pPr>
            <w:r>
              <w:rPr>
                <w:rFonts w:ascii="Times New Roman" w:hAnsi="Times New Roman" w:eastAsia="仿宋_GB2312" w:cs="Times New Roman"/>
                <w:b/>
                <w:bCs/>
                <w:color w:val="000000"/>
                <w:kern w:val="0"/>
                <w:sz w:val="20"/>
                <w:szCs w:val="20"/>
                <w:lang w:bidi="ar"/>
              </w:rPr>
              <w:t>3.2</w:t>
            </w:r>
          </w:p>
        </w:tc>
        <w:tc>
          <w:tcPr>
            <w:tcW w:w="209" w:type="pct"/>
            <w:vAlign w:val="center"/>
          </w:tcPr>
          <w:p>
            <w:pPr>
              <w:widowControl/>
              <w:jc w:val="center"/>
              <w:textAlignment w:val="center"/>
              <w:rPr>
                <w:rFonts w:ascii="Times New Roman" w:hAnsi="Times New Roman" w:eastAsia="仿宋_GB2312" w:cs="Times New Roman"/>
                <w:b/>
                <w:bCs/>
                <w:color w:val="000000"/>
                <w:kern w:val="0"/>
                <w:sz w:val="20"/>
                <w:szCs w:val="20"/>
                <w:lang w:bidi="ar"/>
              </w:rPr>
            </w:pPr>
            <w:r>
              <w:rPr>
                <w:rFonts w:ascii="Times New Roman" w:hAnsi="Times New Roman" w:eastAsia="仿宋_GB2312" w:cs="Times New Roman"/>
                <w:b/>
                <w:bCs/>
                <w:color w:val="000000"/>
                <w:kern w:val="0"/>
                <w:sz w:val="20"/>
                <w:szCs w:val="20"/>
                <w:lang w:bidi="ar"/>
              </w:rPr>
              <w:t>3.3</w:t>
            </w:r>
          </w:p>
        </w:tc>
        <w:tc>
          <w:tcPr>
            <w:tcW w:w="209" w:type="pct"/>
            <w:vAlign w:val="center"/>
          </w:tcPr>
          <w:p>
            <w:pPr>
              <w:widowControl/>
              <w:jc w:val="center"/>
              <w:textAlignment w:val="center"/>
              <w:rPr>
                <w:rFonts w:ascii="Times New Roman" w:hAnsi="Times New Roman" w:eastAsia="仿宋_GB2312" w:cs="Times New Roman"/>
                <w:b/>
                <w:bCs/>
                <w:color w:val="000000"/>
                <w:kern w:val="0"/>
                <w:sz w:val="20"/>
                <w:szCs w:val="20"/>
                <w:lang w:bidi="ar"/>
              </w:rPr>
            </w:pPr>
            <w:r>
              <w:rPr>
                <w:rFonts w:ascii="Times New Roman" w:hAnsi="Times New Roman" w:eastAsia="仿宋_GB2312" w:cs="Times New Roman"/>
                <w:b/>
                <w:bCs/>
                <w:color w:val="000000"/>
                <w:kern w:val="0"/>
                <w:sz w:val="20"/>
                <w:szCs w:val="20"/>
                <w:lang w:bidi="ar"/>
              </w:rPr>
              <w:t>3.4</w:t>
            </w:r>
          </w:p>
        </w:tc>
        <w:tc>
          <w:tcPr>
            <w:tcW w:w="209" w:type="pct"/>
            <w:vAlign w:val="center"/>
          </w:tcPr>
          <w:p>
            <w:pPr>
              <w:widowControl/>
              <w:jc w:val="center"/>
              <w:textAlignment w:val="center"/>
              <w:rPr>
                <w:rFonts w:ascii="Times New Roman" w:hAnsi="Times New Roman" w:eastAsia="仿宋_GB2312" w:cs="Times New Roman"/>
                <w:b/>
                <w:bCs/>
                <w:color w:val="000000"/>
                <w:kern w:val="0"/>
                <w:sz w:val="20"/>
                <w:szCs w:val="20"/>
                <w:lang w:bidi="ar"/>
              </w:rPr>
            </w:pPr>
            <w:r>
              <w:rPr>
                <w:rFonts w:ascii="Times New Roman" w:hAnsi="Times New Roman" w:eastAsia="仿宋_GB2312" w:cs="Times New Roman"/>
                <w:b/>
                <w:bCs/>
                <w:color w:val="000000"/>
                <w:kern w:val="0"/>
                <w:sz w:val="20"/>
                <w:szCs w:val="20"/>
                <w:lang w:bidi="ar"/>
              </w:rPr>
              <w:t>3.5</w:t>
            </w:r>
          </w:p>
        </w:tc>
        <w:tc>
          <w:tcPr>
            <w:tcW w:w="209" w:type="pct"/>
            <w:vAlign w:val="center"/>
          </w:tcPr>
          <w:p>
            <w:pPr>
              <w:widowControl/>
              <w:jc w:val="center"/>
              <w:textAlignment w:val="center"/>
              <w:rPr>
                <w:rFonts w:ascii="Times New Roman" w:hAnsi="Times New Roman" w:eastAsia="仿宋_GB2312" w:cs="Times New Roman"/>
                <w:b/>
                <w:bCs/>
                <w:color w:val="000000"/>
                <w:kern w:val="0"/>
                <w:sz w:val="20"/>
                <w:szCs w:val="20"/>
                <w:lang w:bidi="ar"/>
              </w:rPr>
            </w:pPr>
            <w:r>
              <w:rPr>
                <w:rFonts w:ascii="Times New Roman" w:hAnsi="Times New Roman" w:eastAsia="仿宋_GB2312" w:cs="Times New Roman"/>
                <w:b/>
                <w:bCs/>
                <w:color w:val="000000"/>
                <w:kern w:val="0"/>
                <w:sz w:val="20"/>
                <w:szCs w:val="20"/>
                <w:lang w:bidi="ar"/>
              </w:rPr>
              <w:t>3.6</w:t>
            </w:r>
          </w:p>
        </w:tc>
        <w:tc>
          <w:tcPr>
            <w:tcW w:w="213" w:type="pct"/>
            <w:vAlign w:val="center"/>
          </w:tcPr>
          <w:p>
            <w:pPr>
              <w:widowControl/>
              <w:jc w:val="center"/>
              <w:textAlignment w:val="center"/>
              <w:rPr>
                <w:rFonts w:ascii="Times New Roman" w:hAnsi="Times New Roman" w:eastAsia="仿宋_GB2312" w:cs="Times New Roman"/>
                <w:b/>
                <w:bCs/>
                <w:color w:val="000000"/>
                <w:kern w:val="0"/>
                <w:sz w:val="20"/>
                <w:szCs w:val="20"/>
                <w:lang w:bidi="ar"/>
              </w:rPr>
            </w:pPr>
            <w:r>
              <w:rPr>
                <w:rFonts w:ascii="Times New Roman" w:hAnsi="Times New Roman" w:eastAsia="仿宋_GB2312" w:cs="Times New Roman"/>
                <w:b/>
                <w:bCs/>
                <w:color w:val="000000"/>
                <w:kern w:val="0"/>
                <w:sz w:val="20"/>
                <w:szCs w:val="20"/>
                <w:lang w:bidi="ar"/>
              </w:rP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军事理论</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2</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形势与政策（一）-（六）</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3</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思想道德与法治</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4</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国家安全教育</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5</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马克思主义基本原理</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6</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中国近现代史纲要</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7</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毛泽东思想和中国特色社会主义理论体系概论</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8</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习近平新时代中国特色社会主义思想概论</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9</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中华民族共同体概论</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10</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大学生职业发展与就业指导（一）-（二）</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11</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大学生创新与创业实务（一）-（二）</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12</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大学生安全教育（一）-（六）</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13</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军事技能</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14</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大学生心理健康教育（一）-（二）</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15</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大学体育（一）-（四）</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16</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艺术修养</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17</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大学英语（一）-（二）</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18</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信息技术</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19</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中国共产党简史</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20</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社会主义发展史</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21</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新中国史</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22</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改革开放史</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23</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中国优秀传统文化</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24</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通用礼仪</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25</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应用文写作</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26</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大学语文</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27</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精益生产与管理基础</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 w:type="pct"/>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28</w:t>
            </w:r>
          </w:p>
        </w:tc>
        <w:tc>
          <w:tcPr>
            <w:tcW w:w="1040" w:type="pct"/>
            <w:vAlign w:val="center"/>
          </w:tcPr>
          <w:p>
            <w:pPr>
              <w:widowControl/>
              <w:textAlignment w:val="center"/>
              <w:rPr>
                <w:rFonts w:ascii="Times New Roman" w:hAnsi="Times New Roman" w:eastAsia="仿宋" w:cs="Times New Roman"/>
                <w:sz w:val="18"/>
                <w:szCs w:val="18"/>
              </w:rPr>
            </w:pPr>
            <w:r>
              <w:rPr>
                <w:rFonts w:ascii="Times New Roman" w:hAnsi="Times New Roman" w:eastAsia="仿宋_GB2312" w:cs="Times New Roman"/>
                <w:color w:val="000000"/>
                <w:kern w:val="0"/>
                <w:sz w:val="18"/>
                <w:szCs w:val="18"/>
                <w:lang w:bidi="ar"/>
              </w:rPr>
              <w:t>人工智能应用基础</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M</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3" w:type="pct"/>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r>
    </w:tbl>
    <w:p>
      <w:pPr>
        <w:pStyle w:val="7"/>
        <w:ind w:firstLine="0"/>
        <w:jc w:val="center"/>
        <w:rPr>
          <w:rFonts w:hint="eastAsia" w:ascii="仿宋" w:hAnsi="仿宋" w:eastAsia="仿宋" w:cs="仿宋"/>
          <w:sz w:val="24"/>
          <w:szCs w:val="24"/>
        </w:rPr>
      </w:pPr>
    </w:p>
    <w:p>
      <w:pPr>
        <w:pStyle w:val="7"/>
        <w:rPr>
          <w:rFonts w:hint="eastAsia" w:ascii="仿宋" w:hAnsi="仿宋" w:eastAsia="仿宋" w:cs="仿宋"/>
          <w:sz w:val="24"/>
          <w:szCs w:val="24"/>
        </w:rPr>
      </w:pPr>
      <w:r>
        <w:rPr>
          <w:rFonts w:hint="eastAsia" w:ascii="仿宋" w:hAnsi="仿宋" w:eastAsia="仿宋" w:cs="仿宋"/>
          <w:sz w:val="24"/>
          <w:szCs w:val="24"/>
        </w:rPr>
        <w:t>注：1.根据课程对各项培养规格的支撑强度分别用“H(高)、M(中)、L(弱)”表示。支撑强度指该课程对培养规格各项指标的覆盖度，“H”至少覆盖80%，“M”至少覆盖 50%,“L”至少覆盖 30%。</w:t>
      </w:r>
    </w:p>
    <w:p>
      <w:pPr>
        <w:pStyle w:val="7"/>
        <w:rPr>
          <w:rFonts w:hint="eastAsia" w:ascii="仿宋" w:hAnsi="仿宋" w:eastAsia="仿宋" w:cs="仿宋"/>
          <w:sz w:val="24"/>
          <w:szCs w:val="24"/>
        </w:rPr>
      </w:pPr>
    </w:p>
    <w:p>
      <w:pPr>
        <w:pStyle w:val="25"/>
        <w:adjustRightInd w:val="0"/>
        <w:snapToGrid w:val="0"/>
        <w:spacing w:line="360" w:lineRule="auto"/>
        <w:ind w:firstLine="442"/>
        <w:jc w:val="center"/>
        <w:rPr>
          <w:rFonts w:hint="eastAsia" w:ascii="仿宋" w:hAnsi="仿宋" w:eastAsia="仿宋" w:cs="仿宋"/>
          <w:sz w:val="24"/>
        </w:rPr>
      </w:pPr>
      <w:r>
        <w:rPr>
          <w:rFonts w:hint="eastAsia" w:ascii="仿宋" w:hAnsi="仿宋" w:eastAsia="仿宋" w:cs="仿宋"/>
          <w:b/>
          <w:bCs/>
          <w:sz w:val="22"/>
          <w:szCs w:val="22"/>
        </w:rPr>
        <w:t>表6-2：专业课课程矩阵</w:t>
      </w:r>
    </w:p>
    <w:tbl>
      <w:tblPr>
        <w:tblStyle w:val="15"/>
        <w:tblW w:w="546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6"/>
        <w:gridCol w:w="3200"/>
        <w:gridCol w:w="651"/>
        <w:gridCol w:w="651"/>
        <w:gridCol w:w="651"/>
        <w:gridCol w:w="651"/>
        <w:gridCol w:w="651"/>
        <w:gridCol w:w="651"/>
        <w:gridCol w:w="651"/>
        <w:gridCol w:w="651"/>
        <w:gridCol w:w="651"/>
        <w:gridCol w:w="651"/>
        <w:gridCol w:w="647"/>
        <w:gridCol w:w="647"/>
        <w:gridCol w:w="647"/>
        <w:gridCol w:w="647"/>
        <w:gridCol w:w="647"/>
        <w:gridCol w:w="647"/>
        <w:gridCol w:w="647"/>
        <w:gridCol w:w="6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1226" w:type="pct"/>
            <w:gridSpan w:val="2"/>
            <w:tcBorders>
              <w:bottom w:val="single" w:color="auto" w:sz="4" w:space="0"/>
              <w:tl2br w:val="single" w:color="auto" w:sz="4" w:space="0"/>
            </w:tcBorders>
          </w:tcPr>
          <w:p>
            <w:pPr>
              <w:pStyle w:val="26"/>
              <w:rPr>
                <w:rFonts w:ascii="Times New Roman" w:hAnsi="Times New Roman" w:eastAsia="仿宋" w:cs="Times New Roman"/>
                <w:b/>
                <w:bCs/>
              </w:rPr>
            </w:pPr>
            <w:r>
              <w:rPr>
                <w:rFonts w:ascii="Times New Roman" w:hAnsi="Times New Roman" w:eastAsia="仿宋" w:cs="Times New Roman"/>
                <w:b/>
                <w:bCs/>
              </w:rPr>
              <w:t xml:space="preserve">                  培养规格</w:t>
            </w:r>
          </w:p>
          <w:p>
            <w:pPr>
              <w:pStyle w:val="26"/>
              <w:ind w:firstLine="422" w:firstLineChars="200"/>
              <w:rPr>
                <w:rFonts w:ascii="Times New Roman" w:hAnsi="Times New Roman" w:eastAsia="仿宋" w:cs="Times New Roman"/>
                <w:b/>
                <w:bCs/>
              </w:rPr>
            </w:pPr>
            <w:r>
              <w:rPr>
                <w:rFonts w:ascii="Times New Roman" w:hAnsi="Times New Roman" w:eastAsia="仿宋" w:cs="Times New Roman"/>
                <w:b/>
                <w:bCs/>
              </w:rPr>
              <w:t>课程名称</w:t>
            </w:r>
          </w:p>
        </w:tc>
        <w:tc>
          <w:tcPr>
            <w:tcW w:w="210" w:type="pct"/>
            <w:tcBorders>
              <w:bottom w:val="single" w:color="auto" w:sz="4" w:space="0"/>
            </w:tcBorders>
            <w:vAlign w:val="center"/>
          </w:tcPr>
          <w:p>
            <w:pPr>
              <w:pStyle w:val="26"/>
              <w:jc w:val="center"/>
              <w:rPr>
                <w:rFonts w:ascii="Times New Roman" w:hAnsi="Times New Roman" w:eastAsia="仿宋" w:cs="Times New Roman"/>
                <w:b/>
                <w:bCs/>
                <w:sz w:val="20"/>
                <w:szCs w:val="20"/>
              </w:rPr>
            </w:pPr>
            <w:r>
              <w:rPr>
                <w:rFonts w:ascii="Times New Roman" w:hAnsi="Times New Roman" w:eastAsia="仿宋" w:cs="Times New Roman"/>
                <w:b/>
                <w:bCs/>
                <w:sz w:val="20"/>
                <w:szCs w:val="20"/>
              </w:rPr>
              <w:t>1.1</w:t>
            </w:r>
          </w:p>
        </w:tc>
        <w:tc>
          <w:tcPr>
            <w:tcW w:w="210" w:type="pct"/>
            <w:tcBorders>
              <w:bottom w:val="single" w:color="auto" w:sz="4" w:space="0"/>
            </w:tcBorders>
            <w:vAlign w:val="center"/>
          </w:tcPr>
          <w:p>
            <w:pPr>
              <w:pStyle w:val="26"/>
              <w:jc w:val="center"/>
              <w:rPr>
                <w:rFonts w:ascii="Times New Roman" w:hAnsi="Times New Roman" w:eastAsia="仿宋" w:cs="Times New Roman"/>
                <w:b/>
                <w:bCs/>
                <w:sz w:val="20"/>
                <w:szCs w:val="20"/>
              </w:rPr>
            </w:pPr>
            <w:r>
              <w:rPr>
                <w:rFonts w:ascii="Times New Roman" w:hAnsi="Times New Roman" w:eastAsia="仿宋" w:cs="Times New Roman"/>
                <w:b/>
                <w:bCs/>
                <w:sz w:val="20"/>
                <w:szCs w:val="20"/>
              </w:rPr>
              <w:t>1.2</w:t>
            </w:r>
          </w:p>
        </w:tc>
        <w:tc>
          <w:tcPr>
            <w:tcW w:w="210" w:type="pct"/>
            <w:tcBorders>
              <w:bottom w:val="single" w:color="auto" w:sz="4" w:space="0"/>
            </w:tcBorders>
            <w:vAlign w:val="center"/>
          </w:tcPr>
          <w:p>
            <w:pPr>
              <w:pStyle w:val="26"/>
              <w:jc w:val="center"/>
              <w:rPr>
                <w:rFonts w:ascii="Times New Roman" w:hAnsi="Times New Roman" w:eastAsia="仿宋" w:cs="Times New Roman"/>
                <w:b/>
                <w:bCs/>
                <w:sz w:val="20"/>
                <w:szCs w:val="20"/>
              </w:rPr>
            </w:pPr>
            <w:r>
              <w:rPr>
                <w:rFonts w:ascii="Times New Roman" w:hAnsi="Times New Roman" w:eastAsia="仿宋" w:cs="Times New Roman"/>
                <w:b/>
                <w:bCs/>
                <w:sz w:val="20"/>
                <w:szCs w:val="20"/>
              </w:rPr>
              <w:t>1.3</w:t>
            </w:r>
          </w:p>
        </w:tc>
        <w:tc>
          <w:tcPr>
            <w:tcW w:w="210" w:type="pct"/>
            <w:tcBorders>
              <w:bottom w:val="single" w:color="auto" w:sz="4" w:space="0"/>
            </w:tcBorders>
            <w:vAlign w:val="center"/>
          </w:tcPr>
          <w:p>
            <w:pPr>
              <w:pStyle w:val="26"/>
              <w:jc w:val="center"/>
              <w:rPr>
                <w:rFonts w:ascii="Times New Roman" w:hAnsi="Times New Roman" w:eastAsia="仿宋" w:cs="Times New Roman"/>
                <w:b/>
                <w:bCs/>
                <w:sz w:val="20"/>
                <w:szCs w:val="20"/>
              </w:rPr>
            </w:pPr>
            <w:r>
              <w:rPr>
                <w:rFonts w:ascii="Times New Roman" w:hAnsi="Times New Roman" w:eastAsia="仿宋" w:cs="Times New Roman"/>
                <w:b/>
                <w:bCs/>
                <w:sz w:val="20"/>
                <w:szCs w:val="20"/>
              </w:rPr>
              <w:t>1.4</w:t>
            </w:r>
          </w:p>
        </w:tc>
        <w:tc>
          <w:tcPr>
            <w:tcW w:w="210" w:type="pct"/>
            <w:tcBorders>
              <w:bottom w:val="single" w:color="auto" w:sz="4" w:space="0"/>
            </w:tcBorders>
            <w:vAlign w:val="center"/>
          </w:tcPr>
          <w:p>
            <w:pPr>
              <w:pStyle w:val="26"/>
              <w:jc w:val="center"/>
              <w:rPr>
                <w:rFonts w:ascii="Times New Roman" w:hAnsi="Times New Roman" w:eastAsia="仿宋" w:cs="Times New Roman"/>
                <w:b/>
                <w:bCs/>
                <w:sz w:val="20"/>
                <w:szCs w:val="20"/>
              </w:rPr>
            </w:pPr>
            <w:r>
              <w:rPr>
                <w:rFonts w:ascii="Times New Roman" w:hAnsi="Times New Roman" w:eastAsia="仿宋" w:cs="Times New Roman"/>
                <w:b/>
                <w:bCs/>
                <w:sz w:val="20"/>
                <w:szCs w:val="20"/>
              </w:rPr>
              <w:t>1.5</w:t>
            </w:r>
          </w:p>
        </w:tc>
        <w:tc>
          <w:tcPr>
            <w:tcW w:w="210" w:type="pct"/>
            <w:tcBorders>
              <w:bottom w:val="single" w:color="auto" w:sz="4" w:space="0"/>
            </w:tcBorders>
            <w:vAlign w:val="center"/>
          </w:tcPr>
          <w:p>
            <w:pPr>
              <w:pStyle w:val="26"/>
              <w:jc w:val="center"/>
              <w:rPr>
                <w:rFonts w:ascii="Times New Roman" w:hAnsi="Times New Roman" w:eastAsia="仿宋" w:cs="Times New Roman"/>
                <w:b/>
                <w:bCs/>
                <w:sz w:val="20"/>
                <w:szCs w:val="20"/>
              </w:rPr>
            </w:pPr>
            <w:r>
              <w:rPr>
                <w:rFonts w:hint="eastAsia" w:ascii="Times New Roman" w:hAnsi="Times New Roman" w:eastAsia="仿宋" w:cs="Times New Roman"/>
                <w:b/>
                <w:bCs/>
                <w:sz w:val="20"/>
                <w:szCs w:val="20"/>
              </w:rPr>
              <w:t>1.6</w:t>
            </w:r>
          </w:p>
        </w:tc>
        <w:tc>
          <w:tcPr>
            <w:tcW w:w="210" w:type="pct"/>
            <w:tcBorders>
              <w:bottom w:val="single" w:color="auto" w:sz="4" w:space="0"/>
            </w:tcBorders>
            <w:vAlign w:val="center"/>
          </w:tcPr>
          <w:p>
            <w:pPr>
              <w:pStyle w:val="26"/>
              <w:jc w:val="center"/>
              <w:rPr>
                <w:rFonts w:ascii="Times New Roman" w:hAnsi="Times New Roman" w:eastAsia="仿宋" w:cs="Times New Roman"/>
                <w:b/>
                <w:bCs/>
                <w:sz w:val="20"/>
                <w:szCs w:val="20"/>
              </w:rPr>
            </w:pPr>
            <w:r>
              <w:rPr>
                <w:rFonts w:ascii="Times New Roman" w:hAnsi="Times New Roman" w:eastAsia="仿宋" w:cs="Times New Roman"/>
                <w:b/>
                <w:bCs/>
                <w:sz w:val="20"/>
                <w:szCs w:val="20"/>
              </w:rPr>
              <w:t>2.1</w:t>
            </w:r>
          </w:p>
        </w:tc>
        <w:tc>
          <w:tcPr>
            <w:tcW w:w="210" w:type="pct"/>
            <w:tcBorders>
              <w:bottom w:val="single" w:color="auto" w:sz="4" w:space="0"/>
            </w:tcBorders>
            <w:vAlign w:val="center"/>
          </w:tcPr>
          <w:p>
            <w:pPr>
              <w:pStyle w:val="26"/>
              <w:jc w:val="center"/>
              <w:rPr>
                <w:rFonts w:ascii="Times New Roman" w:hAnsi="Times New Roman" w:eastAsia="仿宋" w:cs="Times New Roman"/>
                <w:b/>
                <w:bCs/>
                <w:sz w:val="20"/>
                <w:szCs w:val="20"/>
              </w:rPr>
            </w:pPr>
            <w:r>
              <w:rPr>
                <w:rFonts w:ascii="Times New Roman" w:hAnsi="Times New Roman" w:eastAsia="仿宋" w:cs="Times New Roman"/>
                <w:b/>
                <w:bCs/>
                <w:sz w:val="20"/>
                <w:szCs w:val="20"/>
              </w:rPr>
              <w:t>2.2</w:t>
            </w:r>
          </w:p>
        </w:tc>
        <w:tc>
          <w:tcPr>
            <w:tcW w:w="210" w:type="pct"/>
            <w:tcBorders>
              <w:bottom w:val="single" w:color="auto" w:sz="4" w:space="0"/>
            </w:tcBorders>
            <w:vAlign w:val="center"/>
          </w:tcPr>
          <w:p>
            <w:pPr>
              <w:pStyle w:val="26"/>
              <w:jc w:val="center"/>
              <w:rPr>
                <w:rFonts w:ascii="Times New Roman" w:hAnsi="Times New Roman" w:eastAsia="仿宋" w:cs="Times New Roman"/>
                <w:b/>
                <w:bCs/>
                <w:sz w:val="20"/>
                <w:szCs w:val="20"/>
              </w:rPr>
            </w:pPr>
            <w:r>
              <w:rPr>
                <w:rFonts w:ascii="Times New Roman" w:hAnsi="Times New Roman" w:eastAsia="仿宋" w:cs="Times New Roman"/>
                <w:b/>
                <w:bCs/>
                <w:sz w:val="20"/>
                <w:szCs w:val="20"/>
              </w:rPr>
              <w:t>2.3</w:t>
            </w:r>
          </w:p>
        </w:tc>
        <w:tc>
          <w:tcPr>
            <w:tcW w:w="210" w:type="pct"/>
            <w:tcBorders>
              <w:bottom w:val="single" w:color="auto" w:sz="4" w:space="0"/>
            </w:tcBorders>
            <w:vAlign w:val="center"/>
          </w:tcPr>
          <w:p>
            <w:pPr>
              <w:pStyle w:val="26"/>
              <w:jc w:val="center"/>
              <w:rPr>
                <w:rFonts w:ascii="Times New Roman" w:hAnsi="Times New Roman" w:eastAsia="仿宋" w:cs="Times New Roman"/>
                <w:b/>
                <w:bCs/>
                <w:sz w:val="20"/>
                <w:szCs w:val="20"/>
              </w:rPr>
            </w:pPr>
            <w:r>
              <w:rPr>
                <w:rFonts w:ascii="Times New Roman" w:hAnsi="Times New Roman" w:eastAsia="仿宋" w:cs="Times New Roman"/>
                <w:b/>
                <w:bCs/>
                <w:sz w:val="20"/>
                <w:szCs w:val="20"/>
              </w:rPr>
              <w:t>2.4</w:t>
            </w:r>
          </w:p>
        </w:tc>
        <w:tc>
          <w:tcPr>
            <w:tcW w:w="209" w:type="pct"/>
            <w:tcBorders>
              <w:bottom w:val="single" w:color="auto" w:sz="4" w:space="0"/>
            </w:tcBorders>
            <w:vAlign w:val="center"/>
          </w:tcPr>
          <w:p>
            <w:pPr>
              <w:pStyle w:val="26"/>
              <w:jc w:val="center"/>
              <w:rPr>
                <w:rFonts w:ascii="Times New Roman" w:hAnsi="Times New Roman" w:eastAsia="仿宋" w:cs="Times New Roman"/>
                <w:b/>
                <w:bCs/>
                <w:sz w:val="20"/>
                <w:szCs w:val="20"/>
              </w:rPr>
            </w:pPr>
            <w:r>
              <w:rPr>
                <w:rFonts w:ascii="Times New Roman" w:hAnsi="Times New Roman" w:eastAsia="仿宋" w:cs="Times New Roman"/>
                <w:b/>
                <w:bCs/>
                <w:sz w:val="20"/>
                <w:szCs w:val="20"/>
              </w:rPr>
              <w:t>2.5</w:t>
            </w:r>
          </w:p>
        </w:tc>
        <w:tc>
          <w:tcPr>
            <w:tcW w:w="209" w:type="pct"/>
            <w:tcBorders>
              <w:bottom w:val="single" w:color="auto" w:sz="4" w:space="0"/>
            </w:tcBorders>
            <w:vAlign w:val="center"/>
          </w:tcPr>
          <w:p>
            <w:pPr>
              <w:pStyle w:val="26"/>
              <w:jc w:val="center"/>
              <w:rPr>
                <w:rFonts w:ascii="Times New Roman" w:hAnsi="Times New Roman" w:eastAsia="仿宋" w:cs="Times New Roman"/>
                <w:b/>
                <w:bCs/>
                <w:sz w:val="20"/>
                <w:szCs w:val="20"/>
              </w:rPr>
            </w:pPr>
            <w:r>
              <w:rPr>
                <w:rFonts w:ascii="Times New Roman" w:hAnsi="Times New Roman" w:eastAsia="仿宋" w:cs="Times New Roman"/>
                <w:b/>
                <w:bCs/>
                <w:sz w:val="20"/>
                <w:szCs w:val="20"/>
              </w:rPr>
              <w:t>3.1</w:t>
            </w:r>
          </w:p>
        </w:tc>
        <w:tc>
          <w:tcPr>
            <w:tcW w:w="209" w:type="pct"/>
            <w:tcBorders>
              <w:bottom w:val="single" w:color="auto" w:sz="4" w:space="0"/>
            </w:tcBorders>
            <w:vAlign w:val="center"/>
          </w:tcPr>
          <w:p>
            <w:pPr>
              <w:pStyle w:val="26"/>
              <w:jc w:val="center"/>
              <w:rPr>
                <w:rFonts w:ascii="Times New Roman" w:hAnsi="Times New Roman" w:eastAsia="仿宋" w:cs="Times New Roman"/>
                <w:b/>
                <w:bCs/>
                <w:sz w:val="20"/>
                <w:szCs w:val="20"/>
              </w:rPr>
            </w:pPr>
            <w:r>
              <w:rPr>
                <w:rFonts w:ascii="Times New Roman" w:hAnsi="Times New Roman" w:eastAsia="仿宋" w:cs="Times New Roman"/>
                <w:b/>
                <w:bCs/>
                <w:sz w:val="20"/>
                <w:szCs w:val="20"/>
              </w:rPr>
              <w:t>3.2</w:t>
            </w:r>
          </w:p>
        </w:tc>
        <w:tc>
          <w:tcPr>
            <w:tcW w:w="209" w:type="pct"/>
            <w:tcBorders>
              <w:bottom w:val="single" w:color="auto" w:sz="4" w:space="0"/>
            </w:tcBorders>
            <w:vAlign w:val="center"/>
          </w:tcPr>
          <w:p>
            <w:pPr>
              <w:pStyle w:val="26"/>
              <w:jc w:val="center"/>
              <w:rPr>
                <w:rFonts w:ascii="Times New Roman" w:hAnsi="Times New Roman" w:eastAsia="仿宋" w:cs="Times New Roman"/>
                <w:b/>
                <w:bCs/>
                <w:sz w:val="20"/>
                <w:szCs w:val="20"/>
              </w:rPr>
            </w:pPr>
            <w:r>
              <w:rPr>
                <w:rFonts w:ascii="Times New Roman" w:hAnsi="Times New Roman" w:eastAsia="仿宋" w:cs="Times New Roman"/>
                <w:b/>
                <w:bCs/>
                <w:sz w:val="20"/>
                <w:szCs w:val="20"/>
              </w:rPr>
              <w:t>3.3</w:t>
            </w:r>
          </w:p>
        </w:tc>
        <w:tc>
          <w:tcPr>
            <w:tcW w:w="209" w:type="pct"/>
            <w:tcBorders>
              <w:bottom w:val="single" w:color="auto" w:sz="4" w:space="0"/>
            </w:tcBorders>
            <w:vAlign w:val="center"/>
          </w:tcPr>
          <w:p>
            <w:pPr>
              <w:pStyle w:val="26"/>
              <w:jc w:val="center"/>
              <w:rPr>
                <w:rFonts w:ascii="Times New Roman" w:hAnsi="Times New Roman" w:eastAsia="仿宋" w:cs="Times New Roman"/>
                <w:b/>
                <w:bCs/>
                <w:sz w:val="20"/>
                <w:szCs w:val="20"/>
              </w:rPr>
            </w:pPr>
            <w:r>
              <w:rPr>
                <w:rFonts w:ascii="Times New Roman" w:hAnsi="Times New Roman" w:eastAsia="仿宋" w:cs="Times New Roman"/>
                <w:b/>
                <w:bCs/>
                <w:sz w:val="20"/>
                <w:szCs w:val="20"/>
              </w:rPr>
              <w:t>3.4</w:t>
            </w:r>
          </w:p>
        </w:tc>
        <w:tc>
          <w:tcPr>
            <w:tcW w:w="209" w:type="pct"/>
            <w:tcBorders>
              <w:bottom w:val="single" w:color="auto" w:sz="4" w:space="0"/>
            </w:tcBorders>
            <w:vAlign w:val="center"/>
          </w:tcPr>
          <w:p>
            <w:pPr>
              <w:pStyle w:val="26"/>
              <w:jc w:val="center"/>
              <w:rPr>
                <w:rFonts w:ascii="Times New Roman" w:hAnsi="Times New Roman" w:eastAsia="仿宋" w:cs="Times New Roman"/>
                <w:b/>
                <w:bCs/>
                <w:sz w:val="20"/>
                <w:szCs w:val="20"/>
              </w:rPr>
            </w:pPr>
            <w:r>
              <w:rPr>
                <w:rFonts w:ascii="Times New Roman" w:hAnsi="Times New Roman" w:eastAsia="仿宋" w:cs="Times New Roman"/>
                <w:b/>
                <w:bCs/>
                <w:sz w:val="20"/>
                <w:szCs w:val="20"/>
              </w:rPr>
              <w:t>3.5</w:t>
            </w:r>
          </w:p>
        </w:tc>
        <w:tc>
          <w:tcPr>
            <w:tcW w:w="209" w:type="pct"/>
            <w:tcBorders>
              <w:bottom w:val="single" w:color="auto" w:sz="4" w:space="0"/>
            </w:tcBorders>
            <w:vAlign w:val="center"/>
          </w:tcPr>
          <w:p>
            <w:pPr>
              <w:pStyle w:val="26"/>
              <w:jc w:val="center"/>
              <w:rPr>
                <w:rFonts w:ascii="Times New Roman" w:hAnsi="Times New Roman" w:eastAsia="仿宋" w:cs="Times New Roman"/>
                <w:b/>
                <w:bCs/>
                <w:sz w:val="20"/>
                <w:szCs w:val="20"/>
              </w:rPr>
            </w:pPr>
            <w:r>
              <w:rPr>
                <w:rFonts w:ascii="Times New Roman" w:hAnsi="Times New Roman" w:eastAsia="仿宋" w:cs="Times New Roman"/>
                <w:b/>
                <w:bCs/>
                <w:sz w:val="20"/>
                <w:szCs w:val="20"/>
              </w:rPr>
              <w:t>3.6</w:t>
            </w:r>
          </w:p>
        </w:tc>
        <w:tc>
          <w:tcPr>
            <w:tcW w:w="210" w:type="pct"/>
            <w:tcBorders>
              <w:bottom w:val="single" w:color="auto" w:sz="4" w:space="0"/>
            </w:tcBorders>
            <w:vAlign w:val="center"/>
          </w:tcPr>
          <w:p>
            <w:pPr>
              <w:pStyle w:val="26"/>
              <w:jc w:val="center"/>
              <w:rPr>
                <w:rFonts w:ascii="Times New Roman" w:hAnsi="Times New Roman" w:eastAsia="仿宋" w:cs="Times New Roman"/>
                <w:b/>
                <w:bCs/>
                <w:sz w:val="20"/>
                <w:szCs w:val="20"/>
              </w:rPr>
            </w:pPr>
            <w:r>
              <w:rPr>
                <w:rFonts w:ascii="Times New Roman" w:hAnsi="Times New Roman" w:eastAsia="仿宋" w:cs="Times New Roman"/>
                <w:b/>
                <w:bCs/>
                <w:sz w:val="20"/>
                <w:szCs w:val="20"/>
              </w:rP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入学教育与专业入门</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2</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汽车基础知识</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3</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跨境</w:t>
            </w:r>
            <w:r>
              <w:rPr>
                <w:rFonts w:hint="eastAsia" w:ascii="Times New Roman" w:hAnsi="Times New Roman" w:eastAsia="仿宋" w:cs="Times New Roman"/>
                <w:color w:val="000000" w:themeColor="text1"/>
                <w:sz w:val="18"/>
                <w:szCs w:val="18"/>
                <w:lang w:val="en-US" w:eastAsia="zh-CN"/>
                <w14:textFill>
                  <w14:solidFill>
                    <w14:schemeClr w14:val="tx1"/>
                  </w14:solidFill>
                </w14:textFill>
              </w:rPr>
              <w:t>电商</w:t>
            </w:r>
            <w:r>
              <w:rPr>
                <w:rFonts w:ascii="Times New Roman" w:hAnsi="Times New Roman" w:eastAsia="仿宋" w:cs="Times New Roman"/>
                <w:color w:val="000000" w:themeColor="text1"/>
                <w:sz w:val="18"/>
                <w:szCs w:val="18"/>
                <w14:textFill>
                  <w14:solidFill>
                    <w14:schemeClr w14:val="tx1"/>
                  </w14:solidFill>
                </w14:textFill>
              </w:rPr>
              <w:t>基础</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4</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管理学</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5</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经济学</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6</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东盟语言基础</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7</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FF0000"/>
                <w:sz w:val="18"/>
                <w:szCs w:val="18"/>
              </w:rPr>
            </w:pPr>
            <w:r>
              <w:rPr>
                <w:rFonts w:ascii="Times New Roman" w:hAnsi="Times New Roman" w:eastAsia="仿宋" w:cs="Times New Roman"/>
                <w:sz w:val="18"/>
                <w:szCs w:val="18"/>
              </w:rPr>
              <w:t>跨境电商法律法规</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color w:val="FF0000"/>
                <w:sz w:val="18"/>
                <w:szCs w:val="18"/>
              </w:rPr>
            </w:pPr>
            <w:r>
              <w:rPr>
                <w:rFonts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color w:val="FF0000"/>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color w:val="FF0000"/>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color w:val="FF0000"/>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color w:val="FF0000"/>
                <w:sz w:val="18"/>
                <w:szCs w:val="18"/>
              </w:rPr>
            </w:pPr>
            <w:r>
              <w:rPr>
                <w:rFonts w:hint="eastAsia" w:ascii="Times New Roman" w:hAnsi="Times New Roman" w:eastAsia="仿宋_GB2312" w:cs="Times New Roman"/>
                <w:color w:val="000000"/>
                <w:kern w:val="0"/>
                <w:sz w:val="18"/>
                <w:szCs w:val="18"/>
                <w:lang w:bidi="ar"/>
              </w:rPr>
              <w:t>--</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color w:val="FF0000"/>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8</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跨境电商英语</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9</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消费心理学</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10</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跨境平台店铺运营与管理</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11</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跨境电商产品开发</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12</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跨境电商数字营销</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13</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跨境电商数据分析</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14</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跨境电商客户管理</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15</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产品视觉营销设计</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16</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跨境电商物流与关务</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17</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跨境采购与供应链管理</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18</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跨境短视频营销</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19</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跨境直播营销</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2</w:t>
            </w:r>
            <w:r>
              <w:rPr>
                <w:rFonts w:hint="eastAsia" w:ascii="Times New Roman" w:hAnsi="Times New Roman" w:eastAsia="仿宋" w:cs="Times New Roman"/>
                <w:sz w:val="18"/>
                <w:szCs w:val="18"/>
              </w:rPr>
              <w:t>0</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hint="eastAsia" w:ascii="Times New Roman" w:hAnsi="Times New Roman" w:eastAsia="仿宋" w:cs="Times New Roman"/>
                <w:color w:val="000000" w:themeColor="text1"/>
                <w:sz w:val="18"/>
                <w:szCs w:val="18"/>
                <w14:textFill>
                  <w14:solidFill>
                    <w14:schemeClr w14:val="tx1"/>
                  </w14:solidFill>
                </w14:textFill>
              </w:rPr>
              <w:t>跨境电商</w:t>
            </w:r>
            <w:r>
              <w:rPr>
                <w:rFonts w:ascii="Times New Roman" w:hAnsi="Times New Roman" w:eastAsia="仿宋" w:cs="Times New Roman"/>
                <w:color w:val="000000" w:themeColor="text1"/>
                <w:sz w:val="18"/>
                <w:szCs w:val="18"/>
                <w14:textFill>
                  <w14:solidFill>
                    <w14:schemeClr w14:val="tx1"/>
                  </w14:solidFill>
                </w14:textFill>
              </w:rPr>
              <w:t>独立站运营</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lang w:bidi="en-US"/>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L</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lang w:bidi="en-US"/>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lang w:bidi="en-US"/>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lang w:bidi="en-US"/>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lang w:eastAsia="en-US" w:bidi="en-US"/>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21</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sz w:val="18"/>
                <w:szCs w:val="18"/>
              </w:rPr>
            </w:pPr>
            <w:r>
              <w:rPr>
                <w:rFonts w:hint="eastAsia" w:ascii="Times New Roman" w:hAnsi="Times New Roman" w:eastAsia="仿宋" w:cs="Times New Roman"/>
                <w:sz w:val="18"/>
                <w:szCs w:val="18"/>
              </w:rPr>
              <w:t>国际贸易实务</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lang w:bidi="en-US"/>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lang w:bidi="en-US"/>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lang w:bidi="en-US"/>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lang w:bidi="en-US"/>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lang w:bidi="en-US"/>
              </w:rPr>
            </w:pPr>
            <w:r>
              <w:rPr>
                <w:rFonts w:hint="eastAsia" w:ascii="Times New Roman" w:hAnsi="Times New Roman" w:eastAsia="仿宋_GB2312" w:cs="Times New Roman"/>
                <w:color w:val="000000"/>
                <w:kern w:val="0"/>
                <w:sz w:val="18"/>
                <w:szCs w:val="18"/>
                <w:lang w:bidi="ar"/>
              </w:rPr>
              <w:t>--</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eastAsia="en-US" w:bidi="en-US"/>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eastAsia="en-US" w:bidi="en-US"/>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bidi="en-US"/>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eastAsia="en-US" w:bidi="en-US"/>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eastAsia="en-US" w:bidi="en-US"/>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eastAsia="en-US" w:bidi="en-US"/>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eastAsia="en-US" w:bidi="en-US"/>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lang w:eastAsia="en-US" w:bidi="en-US"/>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2</w:t>
            </w:r>
            <w:r>
              <w:rPr>
                <w:rFonts w:hint="eastAsia" w:ascii="Times New Roman" w:hAnsi="Times New Roman" w:eastAsia="仿宋" w:cs="Times New Roman"/>
                <w:sz w:val="18"/>
                <w:szCs w:val="18"/>
              </w:rPr>
              <w:t>2</w:t>
            </w:r>
          </w:p>
        </w:tc>
        <w:tc>
          <w:tcPr>
            <w:tcW w:w="1030" w:type="pct"/>
            <w:tcBorders>
              <w:top w:val="single" w:color="auto" w:sz="4" w:space="0"/>
              <w:left w:val="single" w:color="auto" w:sz="4" w:space="0"/>
              <w:bottom w:val="single" w:color="auto" w:sz="4" w:space="0"/>
              <w:right w:val="single" w:color="auto" w:sz="4" w:space="0"/>
            </w:tcBorders>
            <w:vAlign w:val="center"/>
          </w:tcPr>
          <w:p>
            <w:pPr>
              <w:widowControl/>
              <w:textAlignment w:val="center"/>
              <w:rPr>
                <w:rFonts w:ascii="Times New Roman" w:hAnsi="Times New Roman" w:eastAsia="仿宋" w:cs="Times New Roman"/>
                <w:sz w:val="18"/>
                <w:szCs w:val="18"/>
              </w:rPr>
            </w:pPr>
            <w:r>
              <w:rPr>
                <w:rFonts w:hint="eastAsia" w:ascii="Times New Roman" w:hAnsi="Times New Roman" w:eastAsia="仿宋" w:cs="Times New Roman"/>
                <w:color w:val="000000" w:themeColor="text1"/>
                <w:sz w:val="18"/>
                <w:szCs w:val="18"/>
                <w14:textFill>
                  <w14:solidFill>
                    <w14:schemeClr w14:val="tx1"/>
                  </w14:solidFill>
                </w14:textFill>
              </w:rPr>
              <w:t>劳动教育—工业匠心</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sz w:val="18"/>
                <w:szCs w:val="18"/>
              </w:rPr>
              <w:t>23</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课程设计</w:t>
            </w:r>
            <w:r>
              <w:rPr>
                <w:rFonts w:hint="eastAsia" w:ascii="Times New Roman" w:hAnsi="Times New Roman" w:eastAsia="仿宋" w:cs="Times New Roman"/>
                <w:color w:val="000000" w:themeColor="text1"/>
                <w:sz w:val="18"/>
                <w:szCs w:val="18"/>
                <w14:textFill>
                  <w14:solidFill>
                    <w14:schemeClr w14:val="tx1"/>
                  </w14:solidFill>
                </w14:textFill>
              </w:rPr>
              <w:t>1</w:t>
            </w:r>
            <w:r>
              <w:rPr>
                <w:rFonts w:ascii="Times New Roman" w:hAnsi="Times New Roman" w:eastAsia="仿宋" w:cs="Times New Roman"/>
                <w:color w:val="000000" w:themeColor="text1"/>
                <w:sz w:val="18"/>
                <w:szCs w:val="18"/>
                <w14:textFill>
                  <w14:solidFill>
                    <w14:schemeClr w14:val="tx1"/>
                  </w14:solidFill>
                </w14:textFill>
              </w:rPr>
              <w:t>：Amazon店铺运营</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color w:val="000000" w:themeColor="text1"/>
                <w:sz w:val="18"/>
                <w:szCs w:val="18"/>
                <w14:textFill>
                  <w14:solidFill>
                    <w14:schemeClr w14:val="tx1"/>
                  </w14:solidFill>
                </w14:textFill>
              </w:rPr>
            </w:pPr>
            <w:r>
              <w:rPr>
                <w:rFonts w:hint="eastAsia" w:ascii="Times New Roman" w:hAnsi="Times New Roman" w:eastAsia="仿宋" w:cs="Times New Roman"/>
                <w:color w:val="000000" w:themeColor="text1"/>
                <w:sz w:val="18"/>
                <w:szCs w:val="18"/>
                <w14:textFill>
                  <w14:solidFill>
                    <w14:schemeClr w14:val="tx1"/>
                  </w14:solidFill>
                </w14:textFill>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L</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24</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课程设计</w:t>
            </w:r>
            <w:r>
              <w:rPr>
                <w:rFonts w:hint="eastAsia" w:ascii="Times New Roman" w:hAnsi="Times New Roman" w:eastAsia="仿宋" w:cs="Times New Roman"/>
                <w:color w:val="000000" w:themeColor="text1"/>
                <w:sz w:val="18"/>
                <w:szCs w:val="18"/>
                <w14:textFill>
                  <w14:solidFill>
                    <w14:schemeClr w14:val="tx1"/>
                  </w14:solidFill>
                </w14:textFill>
              </w:rPr>
              <w:t>2</w:t>
            </w:r>
            <w:r>
              <w:rPr>
                <w:rFonts w:ascii="Times New Roman" w:hAnsi="Times New Roman" w:eastAsia="仿宋" w:cs="Times New Roman"/>
                <w:color w:val="000000" w:themeColor="text1"/>
                <w:sz w:val="18"/>
                <w:szCs w:val="18"/>
                <w14:textFill>
                  <w14:solidFill>
                    <w14:schemeClr w14:val="tx1"/>
                  </w14:solidFill>
                </w14:textFill>
              </w:rPr>
              <w:t>：客户沟通与服务</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color w:val="000000" w:themeColor="text1"/>
                <w:sz w:val="18"/>
                <w:szCs w:val="18"/>
                <w14:textFill>
                  <w14:solidFill>
                    <w14:schemeClr w14:val="tx1"/>
                  </w14:solidFill>
                </w14:textFill>
              </w:rPr>
            </w:pPr>
            <w:r>
              <w:rPr>
                <w:rFonts w:hint="eastAsia" w:ascii="Times New Roman" w:hAnsi="Times New Roman" w:eastAsia="仿宋" w:cs="Times New Roman"/>
                <w:color w:val="000000" w:themeColor="text1"/>
                <w:sz w:val="18"/>
                <w:szCs w:val="18"/>
                <w14:textFill>
                  <w14:solidFill>
                    <w14:schemeClr w14:val="tx1"/>
                  </w14:solidFill>
                </w14:textFill>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L</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25</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课程设计3：AIGC多语种内容生成</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color w:val="000000" w:themeColor="text1"/>
                <w:sz w:val="18"/>
                <w:szCs w:val="18"/>
                <w14:textFill>
                  <w14:solidFill>
                    <w14:schemeClr w14:val="tx1"/>
                  </w14:solidFill>
                </w14:textFill>
              </w:rPr>
            </w:pPr>
            <w:r>
              <w:rPr>
                <w:rFonts w:hint="eastAsia" w:ascii="Times New Roman" w:hAnsi="Times New Roman" w:eastAsia="仿宋" w:cs="Times New Roman"/>
                <w:color w:val="000000" w:themeColor="text1"/>
                <w:sz w:val="18"/>
                <w:szCs w:val="18"/>
                <w14:textFill>
                  <w14:solidFill>
                    <w14:schemeClr w14:val="tx1"/>
                  </w14:solidFill>
                </w14:textFill>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L</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color w:val="000000" w:themeColor="text1"/>
                <w:sz w:val="18"/>
                <w:szCs w:val="18"/>
                <w14:textFill>
                  <w14:solidFill>
                    <w14:schemeClr w14:val="tx1"/>
                  </w14:solidFill>
                </w14:textFill>
              </w:rPr>
            </w:pPr>
            <w:r>
              <w:rPr>
                <w:rFonts w:hint="eastAsia" w:ascii="Times New Roman" w:hAnsi="Times New Roman" w:eastAsia="仿宋" w:cs="Times New Roman"/>
                <w:color w:val="000000" w:themeColor="text1"/>
                <w:sz w:val="18"/>
                <w:szCs w:val="18"/>
                <w14:textFill>
                  <w14:solidFill>
                    <w14:schemeClr w14:val="tx1"/>
                  </w14:solidFill>
                </w14:textFill>
              </w:rPr>
              <w:t>26</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color w:val="000000" w:themeColor="text1"/>
                <w:sz w:val="18"/>
                <w:szCs w:val="18"/>
                <w14:textFill>
                  <w14:solidFill>
                    <w14:schemeClr w14:val="tx1"/>
                  </w14:solidFill>
                </w14:textFill>
              </w:rPr>
            </w:pPr>
            <w:r>
              <w:rPr>
                <w:rFonts w:ascii="Times New Roman" w:hAnsi="Times New Roman" w:eastAsia="仿宋" w:cs="Times New Roman"/>
                <w:color w:val="000000" w:themeColor="text1"/>
                <w:sz w:val="18"/>
                <w:szCs w:val="18"/>
                <w14:textFill>
                  <w14:solidFill>
                    <w14:schemeClr w14:val="tx1"/>
                  </w14:solidFill>
                </w14:textFill>
              </w:rPr>
              <w:t>课程设计4：跨境整合营销与推广</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color w:val="000000" w:themeColor="text1"/>
                <w:sz w:val="18"/>
                <w:szCs w:val="18"/>
                <w14:textFill>
                  <w14:solidFill>
                    <w14:schemeClr w14:val="tx1"/>
                  </w14:solidFill>
                </w14:textFill>
              </w:rPr>
            </w:pPr>
            <w:r>
              <w:rPr>
                <w:rFonts w:hint="eastAsia" w:ascii="Times New Roman" w:hAnsi="Times New Roman" w:eastAsia="仿宋" w:cs="Times New Roman"/>
                <w:color w:val="000000" w:themeColor="text1"/>
                <w:sz w:val="18"/>
                <w:szCs w:val="18"/>
                <w14:textFill>
                  <w14:solidFill>
                    <w14:schemeClr w14:val="tx1"/>
                  </w14:solidFill>
                </w14:textFill>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color w:val="000000" w:themeColor="text1"/>
                <w:sz w:val="18"/>
                <w:szCs w:val="18"/>
                <w14:textFill>
                  <w14:solidFill>
                    <w14:schemeClr w14:val="tx1"/>
                  </w14:solidFill>
                </w14:textFill>
              </w:rPr>
              <w:t>27</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sz w:val="18"/>
                <w:szCs w:val="18"/>
              </w:rPr>
            </w:pPr>
            <w:r>
              <w:rPr>
                <w:rFonts w:ascii="Times New Roman" w:hAnsi="Times New Roman" w:eastAsia="仿宋" w:cs="Times New Roman"/>
                <w:sz w:val="18"/>
                <w:szCs w:val="18"/>
              </w:rPr>
              <w:t>毕业设计</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28</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sz w:val="18"/>
                <w:szCs w:val="18"/>
              </w:rPr>
            </w:pPr>
            <w:r>
              <w:rPr>
                <w:rFonts w:hint="eastAsia" w:ascii="Times New Roman" w:hAnsi="Times New Roman" w:eastAsia="仿宋" w:cs="Times New Roman"/>
                <w:sz w:val="18"/>
                <w:szCs w:val="18"/>
              </w:rPr>
              <w:t>综合实践</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29</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sz w:val="18"/>
                <w:szCs w:val="18"/>
              </w:rPr>
            </w:pPr>
            <w:r>
              <w:rPr>
                <w:rFonts w:hint="eastAsia" w:ascii="Times New Roman" w:hAnsi="Times New Roman" w:eastAsia="仿宋" w:cs="Times New Roman"/>
                <w:sz w:val="18"/>
                <w:szCs w:val="18"/>
              </w:rPr>
              <w:t>岗位实习</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30</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sz w:val="18"/>
                <w:szCs w:val="18"/>
              </w:rPr>
            </w:pPr>
            <w:r>
              <w:rPr>
                <w:rFonts w:hint="eastAsia" w:ascii="Times New Roman" w:hAnsi="Times New Roman" w:eastAsia="仿宋" w:cs="Times New Roman"/>
                <w:sz w:val="18"/>
                <w:szCs w:val="18"/>
                <w:lang w:eastAsia="zh-CN"/>
              </w:rPr>
              <w:t>Python</w:t>
            </w:r>
            <w:r>
              <w:rPr>
                <w:rFonts w:hint="eastAsia" w:ascii="Times New Roman" w:hAnsi="Times New Roman" w:eastAsia="仿宋" w:cs="Times New Roman"/>
                <w:sz w:val="18"/>
                <w:szCs w:val="18"/>
              </w:rPr>
              <w:t>应用基础</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31</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sz w:val="18"/>
                <w:szCs w:val="18"/>
              </w:rPr>
            </w:pPr>
            <w:r>
              <w:rPr>
                <w:rFonts w:ascii="Times New Roman" w:hAnsi="Times New Roman" w:eastAsia="仿宋" w:cs="Times New Roman"/>
                <w:sz w:val="18"/>
                <w:szCs w:val="18"/>
              </w:rPr>
              <w:t>东盟贸易地理</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32</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sz w:val="18"/>
                <w:szCs w:val="18"/>
              </w:rPr>
            </w:pPr>
            <w:r>
              <w:rPr>
                <w:rFonts w:ascii="Times New Roman" w:hAnsi="Times New Roman" w:eastAsia="仿宋" w:cs="Times New Roman"/>
                <w:sz w:val="18"/>
                <w:szCs w:val="18"/>
              </w:rPr>
              <w:t>东盟区域文化</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lang w:eastAsia="en-US" w:bidi="en-US"/>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lang w:eastAsia="en-US" w:bidi="en-US"/>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lang w:eastAsia="en-US" w:bidi="en-US"/>
              </w:rPr>
            </w:pPr>
            <w:r>
              <w:rPr>
                <w:rFonts w:hint="eastAsia" w:ascii="Times New Roman" w:hAnsi="Times New Roman" w:eastAsia="仿宋_GB2312" w:cs="Times New Roman"/>
                <w:kern w:val="0"/>
                <w:sz w:val="18"/>
                <w:szCs w:val="18"/>
                <w:lang w:bidi="ar"/>
              </w:rPr>
              <w:t>--</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lang w:eastAsia="en-US" w:bidi="en-US"/>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lang w:bidi="en-US"/>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lang w:eastAsia="en-US" w:bidi="en-US"/>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lang w:bidi="en-US"/>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lang w:eastAsia="en-US" w:bidi="en-US"/>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lang w:bidi="en-US"/>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33</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sz w:val="18"/>
                <w:szCs w:val="18"/>
              </w:rPr>
            </w:pPr>
            <w:r>
              <w:rPr>
                <w:rFonts w:ascii="Times New Roman" w:hAnsi="Times New Roman" w:eastAsia="仿宋" w:cs="Times New Roman"/>
                <w:sz w:val="18"/>
                <w:szCs w:val="18"/>
              </w:rPr>
              <w:t>汽车产业新技术新趋势</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34</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sz w:val="18"/>
                <w:szCs w:val="18"/>
              </w:rPr>
            </w:pPr>
            <w:r>
              <w:rPr>
                <w:rFonts w:ascii="Times New Roman" w:hAnsi="Times New Roman" w:eastAsia="仿宋" w:cs="Times New Roman"/>
                <w:sz w:val="18"/>
                <w:szCs w:val="18"/>
              </w:rPr>
              <w:t>跨境贸易风险管理</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35</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sz w:val="18"/>
                <w:szCs w:val="18"/>
              </w:rPr>
            </w:pPr>
            <w:r>
              <w:rPr>
                <w:rFonts w:hint="eastAsia" w:ascii="Times New Roman" w:hAnsi="Times New Roman" w:eastAsia="仿宋" w:cs="Times New Roman"/>
                <w:sz w:val="18"/>
                <w:szCs w:val="18"/>
              </w:rPr>
              <w:t>AI数字内容生成</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36</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sz w:val="18"/>
                <w:szCs w:val="18"/>
              </w:rPr>
            </w:pPr>
            <w:r>
              <w:rPr>
                <w:rFonts w:ascii="Times New Roman" w:hAnsi="Times New Roman" w:eastAsia="仿宋" w:cs="Times New Roman"/>
                <w:sz w:val="18"/>
                <w:szCs w:val="18"/>
              </w:rPr>
              <w:t>东盟商务礼仪</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09" w:type="pct"/>
            <w:tcBorders>
              <w:top w:val="single" w:color="auto" w:sz="4" w:space="0"/>
              <w:left w:val="single" w:color="auto" w:sz="4" w:space="0"/>
              <w:bottom w:val="single" w:color="auto" w:sz="4" w:space="0"/>
            </w:tcBorders>
            <w:vAlign w:val="center"/>
          </w:tcPr>
          <w:p>
            <w:pPr>
              <w:widowControl/>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widowControl/>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widowControl/>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37</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sz w:val="18"/>
                <w:szCs w:val="18"/>
              </w:rPr>
            </w:pPr>
            <w:r>
              <w:rPr>
                <w:rFonts w:ascii="Times New Roman" w:hAnsi="Times New Roman" w:eastAsia="仿宋" w:cs="Times New Roman"/>
                <w:sz w:val="18"/>
                <w:szCs w:val="18"/>
              </w:rPr>
              <w:t>跨境品牌推广</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38</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sz w:val="18"/>
                <w:szCs w:val="18"/>
              </w:rPr>
            </w:pPr>
            <w:r>
              <w:rPr>
                <w:rFonts w:hint="eastAsia" w:ascii="Times New Roman" w:hAnsi="Times New Roman" w:eastAsia="仿宋" w:cs="Times New Roman"/>
                <w:sz w:val="18"/>
                <w:szCs w:val="18"/>
              </w:rPr>
              <w:t>汽车产品海外新媒体推广</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c>
          <w:tcPr>
            <w:tcW w:w="210"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L</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jc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H</w:t>
            </w:r>
          </w:p>
        </w:tc>
        <w:tc>
          <w:tcPr>
            <w:tcW w:w="210" w:type="pct"/>
            <w:tcBorders>
              <w:top w:val="single" w:color="auto" w:sz="4" w:space="0"/>
              <w:left w:val="single" w:color="auto" w:sz="4" w:space="0"/>
              <w:bottom w:val="single" w:color="auto" w:sz="4" w:space="0"/>
            </w:tcBorders>
            <w:vAlign w:val="center"/>
          </w:tcPr>
          <w:p>
            <w:pPr>
              <w:pStyle w:val="26"/>
              <w:jc w:val="center"/>
              <w:rPr>
                <w:rFonts w:ascii="Times New Roman" w:hAnsi="Times New Roman" w:eastAsia="仿宋" w:cs="Times New Roman"/>
                <w:sz w:val="18"/>
                <w:szCs w:val="18"/>
              </w:rPr>
            </w:pPr>
            <w:r>
              <w:rPr>
                <w:rFonts w:ascii="Times New Roman" w:hAnsi="Times New Roman" w:eastAsia="仿宋" w:cs="Times New Roman"/>
                <w:sz w:val="18"/>
                <w:szCs w:val="18"/>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39</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sz w:val="18"/>
                <w:szCs w:val="18"/>
              </w:rPr>
            </w:pPr>
            <w:r>
              <w:rPr>
                <w:rFonts w:hint="eastAsia" w:ascii="Times New Roman" w:hAnsi="Times New Roman" w:eastAsia="仿宋" w:cs="Times New Roman"/>
                <w:sz w:val="18"/>
                <w:szCs w:val="18"/>
              </w:rPr>
              <w:t>经济数学</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M</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L</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H</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L</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M</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widowControl/>
              <w:jc w:val="center"/>
              <w:textAlignment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widowControl/>
              <w:jc w:val="center"/>
              <w:textAlignment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jc w:val="center"/>
        </w:trPr>
        <w:tc>
          <w:tcPr>
            <w:tcW w:w="195" w:type="pct"/>
            <w:tcBorders>
              <w:top w:val="single" w:color="auto" w:sz="4" w:space="0"/>
              <w:bottom w:val="single" w:color="auto" w:sz="4" w:space="0"/>
              <w:right w:val="single" w:color="auto" w:sz="4" w:space="0"/>
            </w:tcBorders>
            <w:vAlign w:val="center"/>
          </w:tcPr>
          <w:p>
            <w:pPr>
              <w:pStyle w:val="26"/>
              <w:jc w:val="center"/>
              <w:rPr>
                <w:rFonts w:ascii="Times New Roman" w:hAnsi="Times New Roman" w:eastAsia="仿宋" w:cs="Times New Roman"/>
                <w:sz w:val="18"/>
                <w:szCs w:val="18"/>
              </w:rPr>
            </w:pPr>
            <w:r>
              <w:rPr>
                <w:rFonts w:hint="eastAsia" w:ascii="Times New Roman" w:hAnsi="Times New Roman" w:eastAsia="仿宋" w:cs="Times New Roman"/>
                <w:sz w:val="18"/>
                <w:szCs w:val="18"/>
              </w:rPr>
              <w:t>40</w:t>
            </w:r>
          </w:p>
        </w:tc>
        <w:tc>
          <w:tcPr>
            <w:tcW w:w="1030" w:type="pct"/>
            <w:tcBorders>
              <w:top w:val="single" w:color="auto" w:sz="4" w:space="0"/>
              <w:left w:val="single" w:color="auto" w:sz="4" w:space="0"/>
              <w:bottom w:val="single" w:color="auto" w:sz="4" w:space="0"/>
              <w:right w:val="single" w:color="auto" w:sz="4" w:space="0"/>
            </w:tcBorders>
            <w:vAlign w:val="center"/>
          </w:tcPr>
          <w:p>
            <w:pPr>
              <w:pStyle w:val="26"/>
              <w:rPr>
                <w:rFonts w:ascii="Times New Roman" w:hAnsi="Times New Roman" w:eastAsia="仿宋" w:cs="Times New Roman"/>
                <w:sz w:val="18"/>
                <w:szCs w:val="18"/>
              </w:rPr>
            </w:pPr>
            <w:r>
              <w:rPr>
                <w:rFonts w:hint="eastAsia" w:ascii="Times New Roman" w:hAnsi="Times New Roman" w:eastAsia="仿宋" w:cs="Times New Roman"/>
                <w:sz w:val="18"/>
                <w:szCs w:val="18"/>
              </w:rPr>
              <w:t>概率论与数理统计</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M</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L</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H</w:t>
            </w:r>
          </w:p>
        </w:tc>
        <w:tc>
          <w:tcPr>
            <w:tcW w:w="65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L</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H</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M</w:t>
            </w:r>
          </w:p>
        </w:tc>
        <w:tc>
          <w:tcPr>
            <w:tcW w:w="210"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widowControl/>
              <w:jc w:val="center"/>
              <w:textAlignment w:val="center"/>
              <w:rPr>
                <w:rFonts w:ascii="Times New Roman" w:hAnsi="Times New Roman" w:eastAsia="仿宋_GB2312" w:cs="Times New Roman"/>
                <w:color w:val="000000"/>
                <w:kern w:val="0"/>
                <w:sz w:val="18"/>
                <w:szCs w:val="18"/>
                <w:lang w:bidi="ar"/>
              </w:rPr>
            </w:pPr>
            <w:r>
              <w:rPr>
                <w:rFonts w:hint="eastAsia" w:ascii="Times New Roman" w:hAnsi="Times New Roman" w:eastAsia="仿宋_GB2312" w:cs="Times New Roman"/>
                <w:color w:val="000000"/>
                <w:kern w:val="0"/>
                <w:sz w:val="18"/>
                <w:szCs w:val="18"/>
                <w:lang w:bidi="ar"/>
              </w:rPr>
              <w:t>--</w:t>
            </w:r>
          </w:p>
        </w:tc>
        <w:tc>
          <w:tcPr>
            <w:tcW w:w="209" w:type="pct"/>
            <w:tcBorders>
              <w:top w:val="single" w:color="auto" w:sz="4" w:space="0"/>
              <w:left w:val="single" w:color="auto" w:sz="4" w:space="0"/>
              <w:bottom w:val="single" w:color="auto" w:sz="4" w:space="0"/>
            </w:tcBorders>
            <w:vAlign w:val="center"/>
          </w:tcPr>
          <w:p>
            <w:pPr>
              <w:widowControl/>
              <w:jc w:val="center"/>
              <w:textAlignment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c>
          <w:tcPr>
            <w:tcW w:w="210" w:type="pct"/>
            <w:tcBorders>
              <w:top w:val="single" w:color="auto" w:sz="4" w:space="0"/>
              <w:left w:val="single" w:color="auto" w:sz="4" w:space="0"/>
              <w:bottom w:val="single" w:color="auto" w:sz="4" w:space="0"/>
            </w:tcBorders>
            <w:vAlign w:val="center"/>
          </w:tcPr>
          <w:p>
            <w:pPr>
              <w:widowControl/>
              <w:jc w:val="center"/>
              <w:textAlignment w:val="center"/>
              <w:rPr>
                <w:rFonts w:ascii="Times New Roman" w:hAnsi="Times New Roman" w:eastAsia="仿宋" w:cs="Times New Roman"/>
                <w:sz w:val="18"/>
                <w:szCs w:val="18"/>
              </w:rPr>
            </w:pPr>
            <w:r>
              <w:rPr>
                <w:rFonts w:hint="eastAsia" w:ascii="Times New Roman" w:hAnsi="Times New Roman" w:eastAsia="仿宋_GB2312" w:cs="Times New Roman"/>
                <w:color w:val="000000"/>
                <w:kern w:val="0"/>
                <w:sz w:val="18"/>
                <w:szCs w:val="18"/>
                <w:lang w:bidi="ar"/>
              </w:rPr>
              <w:t>--</w:t>
            </w:r>
          </w:p>
        </w:tc>
      </w:tr>
    </w:tbl>
    <w:p>
      <w:pPr>
        <w:pStyle w:val="7"/>
        <w:ind w:firstLine="0"/>
        <w:jc w:val="center"/>
        <w:rPr>
          <w:rFonts w:hint="eastAsia" w:ascii="仿宋" w:hAnsi="仿宋" w:eastAsia="仿宋" w:cs="仿宋"/>
          <w:sz w:val="24"/>
          <w:szCs w:val="24"/>
        </w:rPr>
        <w:sectPr>
          <w:pgSz w:w="16838" w:h="11906" w:orient="landscape"/>
          <w:pgMar w:top="1803" w:right="1440" w:bottom="1803" w:left="1440" w:header="851" w:footer="992" w:gutter="0"/>
          <w:pgNumType w:fmt="decimal"/>
          <w:cols w:space="0" w:num="1"/>
          <w:docGrid w:type="lines" w:linePitch="319" w:charSpace="0"/>
        </w:sectPr>
      </w:pPr>
    </w:p>
    <w:p>
      <w:pPr>
        <w:pStyle w:val="7"/>
        <w:rPr>
          <w:rFonts w:hint="eastAsia" w:ascii="仿宋" w:hAnsi="仿宋" w:eastAsia="仿宋" w:cs="仿宋"/>
          <w:sz w:val="24"/>
          <w:szCs w:val="24"/>
        </w:rPr>
      </w:pPr>
    </w:p>
    <w:p>
      <w:pPr>
        <w:pStyle w:val="3"/>
        <w:ind w:firstLine="562" w:firstLineChars="200"/>
        <w:rPr>
          <w:rFonts w:hint="eastAsia" w:ascii="仿宋_GB2312" w:hAnsi="仿宋_GB2312" w:eastAsia="仿宋_GB2312" w:cs="仿宋_GB2312"/>
          <w:sz w:val="28"/>
          <w:szCs w:val="36"/>
        </w:rPr>
      </w:pPr>
      <w:bookmarkStart w:id="10" w:name="_Toc4982"/>
      <w:r>
        <w:rPr>
          <w:rFonts w:hint="eastAsia" w:ascii="仿宋_GB2312" w:hAnsi="仿宋_GB2312" w:eastAsia="仿宋_GB2312" w:cs="仿宋_GB2312"/>
          <w:sz w:val="28"/>
          <w:szCs w:val="36"/>
        </w:rPr>
        <w:t>（二）课程设置</w:t>
      </w:r>
      <w:bookmarkEnd w:id="10"/>
    </w:p>
    <w:p>
      <w:pPr>
        <w:pStyle w:val="7"/>
        <w:rPr>
          <w:rFonts w:hint="eastAsia" w:ascii="仿宋" w:hAnsi="仿宋" w:eastAsia="仿宋" w:cs="仿宋"/>
          <w:sz w:val="30"/>
          <w:szCs w:val="30"/>
        </w:rPr>
      </w:pPr>
      <w:r>
        <w:rPr>
          <w:rFonts w:hint="eastAsia" w:ascii="仿宋" w:hAnsi="仿宋" w:eastAsia="仿宋" w:cs="仿宋"/>
          <w:sz w:val="30"/>
          <w:szCs w:val="30"/>
        </w:rPr>
        <w:t>1.通识课程设置</w:t>
      </w:r>
    </w:p>
    <w:p>
      <w:pPr>
        <w:pStyle w:val="7"/>
        <w:jc w:val="center"/>
        <w:rPr>
          <w:rFonts w:hint="eastAsia" w:ascii="仿宋" w:hAnsi="仿宋" w:eastAsia="仿宋" w:cs="仿宋"/>
          <w:b/>
          <w:bCs/>
          <w:sz w:val="24"/>
          <w:szCs w:val="24"/>
          <w:highlight w:val="yellow"/>
        </w:rPr>
      </w:pPr>
    </w:p>
    <w:p>
      <w:pPr>
        <w:pStyle w:val="7"/>
        <w:jc w:val="center"/>
        <w:rPr>
          <w:rFonts w:hint="eastAsia" w:ascii="仿宋" w:hAnsi="仿宋" w:eastAsia="仿宋" w:cs="仿宋"/>
          <w:b/>
          <w:bCs/>
          <w:sz w:val="24"/>
          <w:szCs w:val="24"/>
        </w:rPr>
      </w:pPr>
      <w:r>
        <w:rPr>
          <w:rFonts w:hint="eastAsia" w:ascii="仿宋" w:hAnsi="仿宋" w:eastAsia="仿宋" w:cs="仿宋"/>
          <w:b/>
          <w:bCs/>
          <w:sz w:val="24"/>
          <w:szCs w:val="24"/>
        </w:rPr>
        <w:t>表</w:t>
      </w:r>
      <w:r>
        <w:rPr>
          <w:rFonts w:ascii="仿宋" w:hAnsi="仿宋" w:eastAsia="仿宋" w:cs="仿宋"/>
          <w:b/>
          <w:bCs/>
          <w:sz w:val="24"/>
          <w:szCs w:val="24"/>
        </w:rPr>
        <w:t>6-3</w:t>
      </w:r>
      <w:r>
        <w:rPr>
          <w:rFonts w:hint="eastAsia" w:ascii="仿宋" w:hAnsi="仿宋" w:eastAsia="仿宋" w:cs="仿宋"/>
          <w:b/>
          <w:bCs/>
          <w:sz w:val="24"/>
          <w:szCs w:val="24"/>
        </w:rPr>
        <w:t xml:space="preserve"> 通识课程描述</w:t>
      </w:r>
    </w:p>
    <w:tbl>
      <w:tblPr>
        <w:tblStyle w:val="15"/>
        <w:tblpPr w:leftFromText="180" w:rightFromText="180" w:vertAnchor="text" w:horzAnchor="page" w:tblpX="1794" w:tblpY="299"/>
        <w:tblOverlap w:val="never"/>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5"/>
        <w:gridCol w:w="1373"/>
        <w:gridCol w:w="2054"/>
        <w:gridCol w:w="2367"/>
        <w:gridCol w:w="20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402" w:type="pct"/>
            <w:shd w:val="clear" w:color="auto" w:fill="FFFFFF" w:themeFill="background1"/>
            <w:vAlign w:val="center"/>
          </w:tcPr>
          <w:p>
            <w:pPr>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序号</w:t>
            </w:r>
          </w:p>
        </w:tc>
        <w:tc>
          <w:tcPr>
            <w:tcW w:w="806" w:type="pct"/>
            <w:shd w:val="clear" w:color="auto" w:fill="FFFFFF" w:themeFill="background1"/>
            <w:vAlign w:val="center"/>
          </w:tcPr>
          <w:p>
            <w:pPr>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课程名称</w:t>
            </w:r>
          </w:p>
        </w:tc>
        <w:tc>
          <w:tcPr>
            <w:tcW w:w="1206" w:type="pct"/>
            <w:shd w:val="clear" w:color="auto" w:fill="FFFFFF" w:themeFill="background1"/>
            <w:vAlign w:val="center"/>
          </w:tcPr>
          <w:p>
            <w:pPr>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课程目标</w:t>
            </w:r>
          </w:p>
        </w:tc>
        <w:tc>
          <w:tcPr>
            <w:tcW w:w="1390" w:type="pct"/>
            <w:shd w:val="clear" w:color="auto" w:fill="FFFFFF" w:themeFill="background1"/>
            <w:vAlign w:val="center"/>
          </w:tcPr>
          <w:p>
            <w:pPr>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主要内容</w:t>
            </w:r>
          </w:p>
        </w:tc>
        <w:tc>
          <w:tcPr>
            <w:tcW w:w="1194" w:type="pct"/>
            <w:shd w:val="clear" w:color="auto" w:fill="FFFFFF" w:themeFill="background1"/>
            <w:vAlign w:val="center"/>
          </w:tcPr>
          <w:p>
            <w:pPr>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1</w:t>
            </w:r>
          </w:p>
        </w:tc>
        <w:tc>
          <w:tcPr>
            <w:tcW w:w="806" w:type="pct"/>
            <w:shd w:val="clear" w:color="auto" w:fill="FFFFFF" w:themeFill="background1"/>
            <w:vAlign w:val="center"/>
          </w:tcPr>
          <w:p>
            <w:pPr>
              <w:rPr>
                <w:rFonts w:hint="eastAsia" w:ascii="仿宋_GB2312" w:hAnsi="仿宋_GB2312" w:eastAsia="仿宋_GB2312" w:cs="仿宋_GB2312"/>
                <w:b/>
                <w:bCs/>
                <w:szCs w:val="21"/>
              </w:rPr>
            </w:pPr>
            <w:r>
              <w:rPr>
                <w:rFonts w:hint="eastAsia" w:ascii="仿宋_GB2312" w:hAnsi="仿宋_GB2312" w:eastAsia="仿宋_GB2312" w:cs="仿宋_GB2312"/>
                <w:szCs w:val="21"/>
              </w:rPr>
              <w:t>大学生安全教育（一）-（</w:t>
            </w:r>
            <w:r>
              <w:rPr>
                <w:rFonts w:hint="eastAsia" w:ascii="仿宋_GB2312" w:hAnsi="仿宋_GB2312" w:cs="仿宋_GB2312"/>
                <w:szCs w:val="21"/>
              </w:rPr>
              <w:t>六</w:t>
            </w:r>
            <w:r>
              <w:rPr>
                <w:rFonts w:hint="eastAsia" w:ascii="仿宋_GB2312" w:hAnsi="仿宋_GB2312" w:eastAsia="仿宋_GB2312" w:cs="仿宋_GB2312"/>
                <w:szCs w:val="21"/>
              </w:rPr>
              <w:t>）</w:t>
            </w:r>
          </w:p>
        </w:tc>
        <w:tc>
          <w:tcPr>
            <w:tcW w:w="1206" w:type="pct"/>
            <w:shd w:val="clear" w:color="auto" w:fill="FFFFFF" w:themeFill="background1"/>
            <w:vAlign w:val="center"/>
          </w:tcPr>
          <w:p>
            <w:pPr>
              <w:spacing w:line="240" w:lineRule="exact"/>
              <w:rPr>
                <w:rFonts w:hint="eastAsia" w:ascii="仿宋_GB2312" w:hAnsi="仿宋_GB2312" w:eastAsia="仿宋_GB2312" w:cs="仿宋_GB2312"/>
                <w:b/>
                <w:bCs/>
                <w:szCs w:val="21"/>
              </w:rPr>
            </w:pPr>
            <w:r>
              <w:rPr>
                <w:rFonts w:hint="eastAsia" w:ascii="仿宋_GB2312" w:hAnsi="仿宋_GB2312" w:eastAsia="仿宋_GB2312" w:cs="仿宋_GB2312"/>
                <w:szCs w:val="21"/>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390" w:type="pct"/>
            <w:shd w:val="clear" w:color="auto" w:fill="FFFFFF" w:themeFill="background1"/>
            <w:vAlign w:val="center"/>
          </w:tcPr>
          <w:p>
            <w:pPr>
              <w:spacing w:line="240" w:lineRule="exact"/>
              <w:rPr>
                <w:rFonts w:hint="eastAsia" w:ascii="仿宋_GB2312" w:hAnsi="仿宋_GB2312" w:eastAsia="仿宋_GB2312" w:cs="仿宋_GB2312"/>
                <w:b/>
                <w:bCs/>
                <w:szCs w:val="21"/>
              </w:rPr>
            </w:pPr>
            <w:r>
              <w:rPr>
                <w:rFonts w:hint="eastAsia" w:ascii="仿宋_GB2312" w:hAnsi="仿宋_GB2312" w:eastAsia="仿宋_GB2312" w:cs="仿宋_GB2312"/>
                <w:szCs w:val="21"/>
              </w:rPr>
              <w:t>财产安全，社交安全，珍爱生命，远离赌博与禁毒，国家安全，交通安全，人身安全，消防安全，网络安全，食品安全，防灾避险，个人防治艾滋病、HIV感染高危人群防艾等基本知识。</w:t>
            </w:r>
          </w:p>
        </w:tc>
        <w:tc>
          <w:tcPr>
            <w:tcW w:w="1194"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1.教学形式：讲授式授课+网上自主学习；</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spacing w:line="240" w:lineRule="exact"/>
              <w:rPr>
                <w:rFonts w:hint="eastAsia" w:ascii="仿宋_GB2312" w:hAnsi="仿宋_GB2312" w:eastAsia="仿宋_GB2312" w:cs="仿宋_GB2312"/>
                <w:b/>
                <w:bCs/>
                <w:szCs w:val="21"/>
              </w:rPr>
            </w:pPr>
            <w:r>
              <w:rPr>
                <w:rFonts w:hint="eastAsia" w:ascii="仿宋_GB2312" w:hAnsi="仿宋_GB2312" w:eastAsia="仿宋_GB2312" w:cs="仿宋_GB2312"/>
                <w:szCs w:val="21"/>
              </w:rPr>
              <w:t>3.考核要求：观看教学视频（30%）+平时作业（10%）+结课考试（占25%）+面授（占35%）。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2</w:t>
            </w:r>
          </w:p>
        </w:tc>
        <w:tc>
          <w:tcPr>
            <w:tcW w:w="806" w:type="pct"/>
            <w:shd w:val="clear" w:color="auto" w:fill="FFFFFF" w:themeFill="background1"/>
            <w:vAlign w:val="center"/>
          </w:tcPr>
          <w:p>
            <w:pPr>
              <w:rPr>
                <w:rFonts w:hint="eastAsia" w:ascii="仿宋_GB2312" w:hAnsi="仿宋_GB2312" w:eastAsia="仿宋_GB2312" w:cs="仿宋_GB2312"/>
                <w:b/>
                <w:bCs/>
                <w:szCs w:val="21"/>
              </w:rPr>
            </w:pPr>
            <w:r>
              <w:rPr>
                <w:rFonts w:hint="eastAsia" w:ascii="仿宋_GB2312" w:hAnsi="仿宋_GB2312" w:eastAsia="仿宋_GB2312" w:cs="仿宋_GB2312"/>
                <w:szCs w:val="21"/>
              </w:rPr>
              <w:t>军事理论</w:t>
            </w:r>
          </w:p>
        </w:tc>
        <w:tc>
          <w:tcPr>
            <w:tcW w:w="1206" w:type="pct"/>
            <w:shd w:val="clear" w:color="auto" w:fill="FFFFFF" w:themeFill="background1"/>
            <w:vAlign w:val="center"/>
          </w:tcPr>
          <w:p>
            <w:pPr>
              <w:spacing w:line="240" w:lineRule="exact"/>
              <w:rPr>
                <w:rFonts w:hint="eastAsia" w:ascii="仿宋_GB2312" w:hAnsi="仿宋_GB2312" w:eastAsia="仿宋_GB2312" w:cs="仿宋_GB2312"/>
                <w:b/>
                <w:bCs/>
                <w:szCs w:val="21"/>
              </w:rPr>
            </w:pPr>
            <w:r>
              <w:rPr>
                <w:rFonts w:hint="eastAsia" w:ascii="仿宋_GB2312" w:hAnsi="仿宋_GB2312" w:eastAsia="仿宋_GB2312" w:cs="仿宋_GB2312"/>
                <w:szCs w:val="21"/>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390" w:type="pct"/>
            <w:shd w:val="clear" w:color="auto" w:fill="FFFFFF" w:themeFill="background1"/>
            <w:vAlign w:val="center"/>
          </w:tcPr>
          <w:p>
            <w:pPr>
              <w:spacing w:line="240" w:lineRule="exact"/>
              <w:rPr>
                <w:rFonts w:hint="eastAsia" w:ascii="仿宋_GB2312" w:hAnsi="仿宋_GB2312" w:eastAsia="仿宋_GB2312" w:cs="仿宋_GB2312"/>
                <w:b/>
                <w:bCs/>
                <w:szCs w:val="21"/>
              </w:rPr>
            </w:pPr>
            <w:r>
              <w:rPr>
                <w:rFonts w:hint="eastAsia" w:ascii="仿宋_GB2312" w:hAnsi="仿宋_GB2312" w:eastAsia="仿宋_GB2312" w:cs="仿宋_GB2312"/>
                <w:szCs w:val="21"/>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94"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1.教学形式：混合式授课；</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spacing w:line="240" w:lineRule="exact"/>
              <w:rPr>
                <w:rFonts w:hint="eastAsia" w:ascii="仿宋_GB2312" w:hAnsi="仿宋_GB2312" w:eastAsia="仿宋_GB2312" w:cs="仿宋_GB2312"/>
                <w:b/>
                <w:bCs/>
                <w:szCs w:val="21"/>
              </w:rPr>
            </w:pPr>
            <w:r>
              <w:rPr>
                <w:rFonts w:hint="eastAsia" w:ascii="仿宋_GB2312" w:hAnsi="仿宋_GB2312" w:eastAsia="仿宋_GB2312" w:cs="仿宋_GB2312"/>
                <w:szCs w:val="21"/>
              </w:rPr>
              <w:t>3.考核要求：</w:t>
            </w:r>
            <w:r>
              <w:rPr>
                <w:rFonts w:hint="eastAsia" w:ascii="仿宋_GB2312" w:hAnsi="仿宋_GB2312" w:eastAsia="仿宋_GB2312" w:cs="仿宋_GB2312"/>
                <w:color w:val="auto"/>
                <w:kern w:val="2"/>
                <w:sz w:val="21"/>
                <w:szCs w:val="21"/>
                <w:highlight w:val="none"/>
              </w:rPr>
              <w:t>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3</w:t>
            </w:r>
          </w:p>
        </w:tc>
        <w:tc>
          <w:tcPr>
            <w:tcW w:w="806" w:type="pct"/>
            <w:shd w:val="clear" w:color="auto" w:fill="FFFFFF" w:themeFill="background1"/>
            <w:vAlign w:val="center"/>
          </w:tcPr>
          <w:p>
            <w:pPr>
              <w:pStyle w:val="47"/>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形势与政策</w:t>
            </w:r>
          </w:p>
        </w:tc>
        <w:tc>
          <w:tcPr>
            <w:tcW w:w="1206"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390"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94" w:type="pct"/>
            <w:shd w:val="clear" w:color="auto" w:fill="FFFFFF" w:themeFill="background1"/>
            <w:vAlign w:val="center"/>
          </w:tcPr>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7"/>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4</w:t>
            </w:r>
          </w:p>
        </w:tc>
        <w:tc>
          <w:tcPr>
            <w:tcW w:w="806" w:type="pct"/>
            <w:shd w:val="clear" w:color="auto" w:fill="FFFFFF" w:themeFill="background1"/>
            <w:vAlign w:val="center"/>
          </w:tcPr>
          <w:p>
            <w:pPr>
              <w:pStyle w:val="47"/>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思想道德</w:t>
            </w:r>
          </w:p>
          <w:p>
            <w:pPr>
              <w:pStyle w:val="47"/>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与法治</w:t>
            </w:r>
          </w:p>
        </w:tc>
        <w:tc>
          <w:tcPr>
            <w:tcW w:w="1206"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390"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领悟人生真谛，把握人生方向，追求远大理想，坚定崇高信念，继承优良传统，弘扬中国精神，明确价值要求，践行价值准则，遵守道德规范，锤炼道德品格，学习法治思想，提升法治素养。</w:t>
            </w:r>
          </w:p>
        </w:tc>
        <w:tc>
          <w:tcPr>
            <w:tcW w:w="1194" w:type="pct"/>
            <w:shd w:val="clear" w:color="auto" w:fill="FFFFFF" w:themeFill="background1"/>
            <w:vAlign w:val="center"/>
          </w:tcPr>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7"/>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5</w:t>
            </w:r>
          </w:p>
        </w:tc>
        <w:tc>
          <w:tcPr>
            <w:tcW w:w="806" w:type="pct"/>
            <w:shd w:val="clear" w:color="auto" w:fill="FFFFFF" w:themeFill="background1"/>
            <w:vAlign w:val="center"/>
          </w:tcPr>
          <w:p>
            <w:pPr>
              <w:pStyle w:val="47"/>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国家安全教育</w:t>
            </w:r>
          </w:p>
        </w:tc>
        <w:tc>
          <w:tcPr>
            <w:tcW w:w="1206"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390"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94"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7"/>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w:t>
            </w:r>
            <w:r>
              <w:rPr>
                <w:rFonts w:hint="eastAsia" w:ascii="仿宋_GB2312" w:hAnsi="仿宋_GB2312" w:eastAsia="仿宋_GB2312" w:cs="仿宋_GB2312"/>
                <w:color w:val="auto"/>
                <w:kern w:val="2"/>
                <w:sz w:val="21"/>
                <w:szCs w:val="21"/>
                <w:highlight w:val="none"/>
              </w:rPr>
              <w:t>过程性考核60%，结果性考核40%。</w:t>
            </w:r>
            <w:bookmarkStart w:id="62" w:name="_GoBack"/>
            <w:bookmarkEnd w:id="6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6</w:t>
            </w:r>
          </w:p>
        </w:tc>
        <w:tc>
          <w:tcPr>
            <w:tcW w:w="806" w:type="pct"/>
            <w:shd w:val="clear" w:color="auto" w:fill="FFFFFF" w:themeFill="background1"/>
            <w:vAlign w:val="center"/>
          </w:tcPr>
          <w:p>
            <w:pPr>
              <w:pStyle w:val="47"/>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毛泽东思想和中国特色社会主义理论体系概论</w:t>
            </w:r>
          </w:p>
        </w:tc>
        <w:tc>
          <w:tcPr>
            <w:tcW w:w="1206"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390"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94" w:type="pct"/>
            <w:shd w:val="clear" w:color="auto" w:fill="FFFFFF" w:themeFill="background1"/>
            <w:vAlign w:val="center"/>
          </w:tcPr>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7"/>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7</w:t>
            </w:r>
          </w:p>
        </w:tc>
        <w:tc>
          <w:tcPr>
            <w:tcW w:w="806" w:type="pct"/>
            <w:shd w:val="clear" w:color="auto" w:fill="FFFFFF" w:themeFill="background1"/>
            <w:vAlign w:val="center"/>
          </w:tcPr>
          <w:p>
            <w:pPr>
              <w:pStyle w:val="47"/>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习近平新时代中国特色社会主义思想概论</w:t>
            </w:r>
          </w:p>
        </w:tc>
        <w:tc>
          <w:tcPr>
            <w:tcW w:w="1206"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390"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94" w:type="pct"/>
            <w:shd w:val="clear" w:color="auto" w:fill="FFFFFF" w:themeFill="background1"/>
            <w:vAlign w:val="center"/>
          </w:tcPr>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7"/>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b/>
                <w:bCs/>
                <w:szCs w:val="21"/>
              </w:rPr>
            </w:pPr>
            <w:r>
              <w:rPr>
                <w:rFonts w:hint="eastAsia" w:ascii="仿宋_GB2312" w:hAnsi="仿宋_GB2312" w:cs="仿宋_GB2312"/>
                <w:szCs w:val="21"/>
              </w:rPr>
              <w:t>8</w:t>
            </w:r>
          </w:p>
        </w:tc>
        <w:tc>
          <w:tcPr>
            <w:tcW w:w="806"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中华民族共同体概论</w:t>
            </w:r>
          </w:p>
        </w:tc>
        <w:tc>
          <w:tcPr>
            <w:tcW w:w="1206"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通过本课程的学习，帮助学生了解中华民族共同体的内涵和特点，理解其形成和发展过程，掌握维护民族团结和国家统一的方法和途径。同时，培养学生的国家意识和民族自豪感，使其能够积极参与各民族交往交流交融，为中华民族的伟大复兴贡献力量。</w:t>
            </w:r>
          </w:p>
        </w:tc>
        <w:tc>
          <w:tcPr>
            <w:tcW w:w="1390"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课程系统介绍了中华民族共同体的基础理论，包括中华民族、中华民族共同体、中华民族共同体意识等核心概念。同时，从历史角度出发，分阶段讲述了中华民族共同体的形成和发展过程，涵盖了从史前文明起源到新时代的各个历史阶段。</w:t>
            </w:r>
          </w:p>
        </w:tc>
        <w:tc>
          <w:tcPr>
            <w:tcW w:w="1194"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1.教学形式：混合式授课；</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9</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大学生职业发展与就业指导（一）-（二）</w:t>
            </w:r>
          </w:p>
        </w:tc>
        <w:tc>
          <w:tcPr>
            <w:tcW w:w="1206"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通过课程教学，使学生获得面向职业本科培养规格、适应未来高层次技术技能岗位及终身发展所必需的职业规划与就业指导核心知识，掌握自我认知、职业探索、生涯决策与求职面试的系统方法，具备撰写职业生涯规划书、制作求职材料、完成现场路演与面试的核心技能；在真实项目与情境训练中提升职业适应力、沟通协作能力与问题解决能力，培养学生“德技兼备、情理双修”的职业素养和经世济民的社会责任感。</w:t>
            </w:r>
          </w:p>
        </w:tc>
        <w:tc>
          <w:tcPr>
            <w:tcW w:w="1390"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理论部分：职业与生涯基本概念、职业生涯发展理论；职业世界宏观环境（产业、行业、政策）与微观环境（岗位、企业文化）分析方法；自我认知工具；职业决策模型；求职材料（简历、自荐信、职业规划书）结构与写作规范；面试流程、礼仪与应答技巧；就业权益与劳动法律法规；</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2.实践部分：职业测评软件实操、职业生涯规划书撰写与路演、求职简历及自荐信定制、模拟面试与角色扮演、行业企业考察与校友访谈、参加全国大学生职业规划大赛。</w:t>
            </w:r>
          </w:p>
        </w:tc>
        <w:tc>
          <w:tcPr>
            <w:tcW w:w="1194"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1.教学形式：混合式教学；</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2.教室要求：多媒体教室+机房；</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10</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大学生创新与创业实务（一）-（二）</w:t>
            </w:r>
          </w:p>
        </w:tc>
        <w:tc>
          <w:tcPr>
            <w:tcW w:w="1206"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通过课程教学，使学生获得面向专业学习与未来职业发展所必需的创新创业核心知识、方法与工具；掌握发现机会、整合资源、设计商业模式、完成项目路演的关键技能，具备运用专业知识解决真实创业问题的综合能力；在团队协作与项目实践中提升批判性思维、沟通表达与抗压能力，培养学生敢闯会创、服务国家战略及区域发展的创新精神，以及守法合规、诚实守信的职业素养。</w:t>
            </w:r>
          </w:p>
        </w:tc>
        <w:tc>
          <w:tcPr>
            <w:tcW w:w="1390"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1.理论部分：创新创业概念与国家地方政策、创业模型、创新方法、精益创业原理；精益画布、商业模式画布等系统工具；创业团队组建、机会识别、财税基础、政策法规等。</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2.实践部分：新能源汽车、柳州螺蛳粉等地方产业命题项目实战；贝腾创新创业仿真系统训练；创业计划书撰写、路演 PPT 设计与现场路演；参加中国国际大学生创新大赛。</w:t>
            </w:r>
          </w:p>
        </w:tc>
        <w:tc>
          <w:tcPr>
            <w:tcW w:w="1194"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1.教学形式：混合式教学、虚拟仿真与竞赛实战相结合；</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2.教室要求：多媒体教室、机房；</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3.考核形式：平时成绩60%，期末考核成绩40%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11</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大学生心理健康教育（一）-（二）</w:t>
            </w:r>
          </w:p>
        </w:tc>
        <w:tc>
          <w:tcPr>
            <w:tcW w:w="1206"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通过课程教学，使学生获得面向职业本科培养规格、适应未来高层次技术技能岗位及终身发展所必需的心理健康核心知识，掌握自我觉察、情绪管理、压力应对、人际沟通与心理调适的系统方法；具备识别常见心理困扰、构建积极心理品质、制定心理健康计划的核心能力；在情境化训练中提升心理韧性、自我关怀能力与社会适应力，培养学生“身心和谐、知行合一”的健康素养和理性平和的生命价值观。</w:t>
            </w:r>
          </w:p>
        </w:tc>
        <w:tc>
          <w:tcPr>
            <w:tcW w:w="1390"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 理论部分</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基础理论：心理健康标准、心理发展规律（青春期至成年早期）、身心交互机制</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核心能力模块：</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自我认知：人格特质理论、自我意识发展、优势识别工具</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情绪管理：情绪ABC理论、正念调节技术、危机预警信号识别</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压力应对：压力源分析、认知重构策略、心身放松技术</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人际关系：沟通分析（TA理论）、边界建立、冲突化解模型、恋爱关系发展模型、 健康性心理标准</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生命教育：意义感构建、挫折应对、心理危机干预体系</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 实践部分</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团体心理辅导：角色扮演、信任构建</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个人心理健康计划书制定</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校园心理微电影创作</w:t>
            </w:r>
          </w:p>
          <w:p>
            <w:pPr>
              <w:spacing w:line="240" w:lineRule="exact"/>
              <w:rPr>
                <w:rFonts w:hint="eastAsia" w:ascii="仿宋_GB2312" w:hAnsi="仿宋_GB2312" w:eastAsia="仿宋_GB2312" w:cs="仿宋_GB2312"/>
                <w:szCs w:val="21"/>
              </w:rPr>
            </w:pPr>
          </w:p>
        </w:tc>
        <w:tc>
          <w:tcPr>
            <w:tcW w:w="1194"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1.教学形式：混合式教学；</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12</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大学英语（一）-（二）</w:t>
            </w:r>
          </w:p>
        </w:tc>
        <w:tc>
          <w:tcPr>
            <w:tcW w:w="1206"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强化学生英语语言技能，促进学生英语学科核心素养的发展，培养具有中国情怀、国际视野，能够在日常生活和职场中用英语进行有效沟通的高素质技术技能人才</w:t>
            </w:r>
          </w:p>
        </w:tc>
        <w:tc>
          <w:tcPr>
            <w:tcW w:w="1390"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人文生活、职业规范、科技发展、生产环境等相关的语篇及素材</w:t>
            </w:r>
          </w:p>
        </w:tc>
        <w:tc>
          <w:tcPr>
            <w:tcW w:w="1194"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1.教学形式：混合式教学法；</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3.考核形式：平时考核（在线统计）50%，口语实训20%，期末测试成绩30%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13</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大学体育（一）</w:t>
            </w:r>
          </w:p>
        </w:tc>
        <w:tc>
          <w:tcPr>
            <w:tcW w:w="12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本课程以八段锦为主线，以选项课项目（篮球、排球、网球、乒乓球、健美操、体育舞蹈、太极拳、田径）等介绍为辅，通过合理的体育教学和科学的体育锻炼，使学生达到增强体质、促进身心健康和提高体育与健康核心素养为主要目标的课程。</w:t>
            </w:r>
          </w:p>
        </w:tc>
        <w:tc>
          <w:tcPr>
            <w:tcW w:w="1390"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以健康理论为基础，以八段锦技能学习及身体素质锻炼为主体，以课外体育活动为补充，全面提高学生职业体能和对体育锻炼的认识。</w:t>
            </w:r>
          </w:p>
        </w:tc>
        <w:tc>
          <w:tcPr>
            <w:tcW w:w="1194"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1.教学形式：混合式授课；</w:t>
            </w:r>
          </w:p>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2.教室要求：运动场馆；</w:t>
            </w:r>
          </w:p>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3.考核形式：</w:t>
            </w:r>
          </w:p>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平时成绩40%，期末成绩60%（技术技能30%，体育健康测试30%）。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14</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大学体育（二）、大学体育（三）</w:t>
            </w:r>
          </w:p>
        </w:tc>
        <w:tc>
          <w:tcPr>
            <w:tcW w:w="12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本课程是以学生身体练习为主要手段，通过合理的体育教学和科学的体育锻炼，使学生达到增强体质、促进身心健康和提高体育与健康核心素养为主要目标的课程。</w:t>
            </w:r>
          </w:p>
        </w:tc>
        <w:tc>
          <w:tcPr>
            <w:tcW w:w="1390"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以健康理论为基础，以篮球、排球、网球、乒乓球、健美操、体育舞蹈、太极拳、田径（健身跑）等8项技能学习及身体素质锻炼为主体，以课外体育活动为补充，全面提高学生职业体能和对体育锻炼的认识。</w:t>
            </w:r>
          </w:p>
        </w:tc>
        <w:tc>
          <w:tcPr>
            <w:tcW w:w="1194"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1.教学形式：混合式授课；</w:t>
            </w:r>
          </w:p>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2.教室要求：运动场馆；</w:t>
            </w:r>
          </w:p>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3.考核形式：</w:t>
            </w:r>
          </w:p>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平时成绩40%，期末成绩60%（技术技能30%，体育健康测试30%）。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15</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大学体育（四）</w:t>
            </w:r>
          </w:p>
        </w:tc>
        <w:tc>
          <w:tcPr>
            <w:tcW w:w="12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390"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以弹跳、速度、柔韧、耐力、力量等身体素质锻炼及立定跳远、引体向上（男）/仰卧起坐（女）、50米、1000米（男）/800米（女）等体质测试为主体，以课外体育活动为补充。</w:t>
            </w:r>
          </w:p>
        </w:tc>
        <w:tc>
          <w:tcPr>
            <w:tcW w:w="1194"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1.教学形式：混合式授课；</w:t>
            </w:r>
          </w:p>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2.教室要求：运动场馆；</w:t>
            </w:r>
          </w:p>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3.考核要求：</w:t>
            </w:r>
          </w:p>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平时成绩50%，期末成绩50%（体质测试）。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4170" w:hRule="atLeast"/>
        </w:trPr>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16</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通用礼仪</w:t>
            </w:r>
          </w:p>
        </w:tc>
        <w:tc>
          <w:tcPr>
            <w:tcW w:w="1206" w:type="pct"/>
            <w:shd w:val="clear" w:color="auto" w:fill="FFFFFF" w:themeFill="background1"/>
            <w:vAlign w:val="center"/>
          </w:tcPr>
          <w:p>
            <w:pPr>
              <w:rPr>
                <w:rFonts w:hint="eastAsia" w:ascii="仿宋_GB2312" w:hAnsi="仿宋_GB2312" w:eastAsia="仿宋_GB2312" w:cs="仿宋_GB2312"/>
                <w:szCs w:val="21"/>
              </w:rPr>
            </w:pPr>
            <w:r>
              <w:rPr>
                <w:rFonts w:hint="eastAsia" w:ascii="仿宋_GB2312" w:hAnsi="仿宋_GB2312" w:eastAsia="仿宋_GB2312" w:cs="仿宋_GB2312"/>
                <w:szCs w:val="21"/>
              </w:rPr>
              <w:t>通过本课程的学习，掌握相关礼仪常识以及适应未来工作、生活必要的素养和技能；具备在工作与生活中运用礼仪的能力；树立社会主义核心价值观；遵守人际交往的基本原则、社会规范，提高个人修养，树立正确的世界观、人生观和价值观，成为合格的社会主义建设者和接班人。</w:t>
            </w:r>
          </w:p>
        </w:tc>
        <w:tc>
          <w:tcPr>
            <w:tcW w:w="1390" w:type="pct"/>
            <w:shd w:val="clear" w:color="auto" w:fill="FFFFFF" w:themeFill="background1"/>
            <w:vAlign w:val="center"/>
          </w:tcPr>
          <w:p>
            <w:pPr>
              <w:rPr>
                <w:rFonts w:hint="eastAsia" w:ascii="仿宋_GB2312" w:hAnsi="仿宋_GB2312" w:eastAsia="仿宋_GB2312" w:cs="仿宋_GB2312"/>
                <w:szCs w:val="21"/>
              </w:rPr>
            </w:pPr>
            <w:r>
              <w:rPr>
                <w:rFonts w:hint="eastAsia" w:ascii="仿宋_GB2312" w:hAnsi="仿宋_GB2312" w:eastAsia="仿宋_GB2312" w:cs="仿宋_GB2312"/>
                <w:szCs w:val="21"/>
              </w:rPr>
              <w:t>学习内容由基础模块和拓展模块构成，基础模块包含个人礼仪、沟通礼仪、交往礼仪；拓展模块为求职礼仪。</w:t>
            </w:r>
          </w:p>
        </w:tc>
        <w:tc>
          <w:tcPr>
            <w:tcW w:w="1194" w:type="pct"/>
            <w:shd w:val="clear" w:color="auto" w:fill="FFFFFF" w:themeFill="background1"/>
            <w:vAlign w:val="center"/>
          </w:tcPr>
          <w:p>
            <w:pPr>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1.教学形式：混合式教学；</w:t>
            </w:r>
          </w:p>
          <w:p>
            <w:pPr>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rPr>
                <w:rFonts w:hint="eastAsia" w:ascii="仿宋_GB2312" w:hAnsi="仿宋_GB2312" w:eastAsia="仿宋_GB2312" w:cs="仿宋_GB2312"/>
                <w:szCs w:val="21"/>
              </w:rPr>
            </w:pPr>
            <w:r>
              <w:rPr>
                <w:rFonts w:hint="eastAsia" w:ascii="仿宋_GB2312" w:hAnsi="仿宋_GB2312" w:eastAsia="仿宋_GB2312" w:cs="仿宋_GB2312"/>
                <w:szCs w:val="21"/>
              </w:rPr>
              <w:t>3.考核形式：过程性考核100%。</w:t>
            </w:r>
          </w:p>
          <w:p>
            <w:pPr>
              <w:rPr>
                <w:rFonts w:hint="eastAsia" w:ascii="仿宋_GB2312" w:hAnsi="仿宋_GB2312" w:eastAsia="仿宋_GB2312" w:cs="仿宋_GB2312"/>
                <w:szCs w:val="21"/>
              </w:rPr>
            </w:pPr>
          </w:p>
          <w:p>
            <w:pPr>
              <w:pStyle w:val="47"/>
              <w:spacing w:before="40"/>
              <w:ind w:right="57"/>
              <w:jc w:val="both"/>
              <w:rPr>
                <w:rFonts w:hint="eastAsia" w:ascii="仿宋_GB2312" w:hAnsi="仿宋_GB2312" w:eastAsia="仿宋_GB2312" w:cs="仿宋_GB2312"/>
                <w:color w:val="auto"/>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4" w:hRule="atLeast"/>
        </w:trPr>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17</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szCs w:val="21"/>
              </w:rPr>
              <w:t>中国优秀传统文化</w:t>
            </w:r>
          </w:p>
        </w:tc>
        <w:tc>
          <w:tcPr>
            <w:tcW w:w="1206"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390"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1.知识学习：传统文化基本精神、古文学、建筑、节日文化、茶文化等模块；</w:t>
            </w:r>
          </w:p>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w:t>
            </w:r>
          </w:p>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地方传统调查及分享；</w:t>
            </w:r>
          </w:p>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3.思政元素：爱国、正直、善良、自省、自信、立志</w:t>
            </w:r>
          </w:p>
        </w:tc>
        <w:tc>
          <w:tcPr>
            <w:tcW w:w="1194" w:type="pct"/>
            <w:shd w:val="clear" w:color="auto" w:fill="FFFFFF" w:themeFill="background1"/>
            <w:vAlign w:val="center"/>
          </w:tcPr>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3.考核形式：过程性考核100%。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18</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应用文写作</w:t>
            </w:r>
          </w:p>
        </w:tc>
        <w:tc>
          <w:tcPr>
            <w:tcW w:w="1206"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通过本课程的学习，掌握应用文写作基础、识和应用文常识、写作格式、写作要求，以及写作方法和技巧。能够根据现实生活、工作中中碰到的实际情况，结合所学文种知识，选择相应的文种进行写作。具备良好的规则意识、法律意识、市场意识、竞争意识，养成严谨、规范的工作态度和工作习惯。</w:t>
            </w:r>
          </w:p>
        </w:tc>
        <w:tc>
          <w:tcPr>
            <w:tcW w:w="1390"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1.知识学习：公务文书、事务文书、科技文书三大模块；</w:t>
            </w:r>
          </w:p>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2.综合实践：调查实践，撰写调查报告；</w:t>
            </w:r>
          </w:p>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3.思政元素：合作、协作、严谨、规范。</w:t>
            </w:r>
          </w:p>
        </w:tc>
        <w:tc>
          <w:tcPr>
            <w:tcW w:w="1194" w:type="pct"/>
            <w:shd w:val="clear" w:color="auto" w:fill="FFFFFF" w:themeFill="background1"/>
            <w:vAlign w:val="center"/>
          </w:tcPr>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3.考核形式：平时考核60%，期末考核成绩40%。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kern w:val="0"/>
                <w:szCs w:val="21"/>
                <w:lang w:bidi="ar"/>
              </w:rPr>
              <w:t>19</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大学语文</w:t>
            </w:r>
          </w:p>
        </w:tc>
        <w:tc>
          <w:tcPr>
            <w:tcW w:w="1206"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本课程的学习，能根据具体的语言环境理解语言，能整体感知和领会文本，理解文本的思想内容、常见写作手法及语言表现力。能根据学习、生活和职业工作需要，准确无误进行表达与交流；能运用多种思维方式和选取恰当的思维方法，通过探究语言现象，理清事物之间的内在关系，获得思维能力的发展；能够欣赏、分析优秀作品的思想情感与审美意蕴。培养学生正确的价值观念、高尚的人文精神和审美情趣，培育劳动精神，弘扬劳模精神、工匠精神。</w:t>
            </w:r>
          </w:p>
        </w:tc>
        <w:tc>
          <w:tcPr>
            <w:tcW w:w="1390"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1.知识学习：文学作品阅读与鉴赏、演讲能力训练、科技应用文三大模块；</w:t>
            </w:r>
          </w:p>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2.语文综合实践：</w:t>
            </w:r>
          </w:p>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爱我中华经典诵读、职业畅想主题演讲；</w:t>
            </w:r>
          </w:p>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3.思政元素：文化传承、家国情怀、工匠精神、世事洞明、文体章成。</w:t>
            </w:r>
          </w:p>
        </w:tc>
        <w:tc>
          <w:tcPr>
            <w:tcW w:w="1194" w:type="pct"/>
            <w:shd w:val="clear" w:color="auto" w:fill="FFFFFF" w:themeFill="background1"/>
            <w:vAlign w:val="center"/>
          </w:tcPr>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3.考核形式：平时考核60%，期末考核成绩40%。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kern w:val="0"/>
                <w:szCs w:val="21"/>
                <w:lang w:bidi="ar"/>
              </w:rPr>
            </w:pPr>
            <w:r>
              <w:rPr>
                <w:rFonts w:hint="eastAsia" w:ascii="仿宋_GB2312" w:hAnsi="仿宋_GB2312" w:eastAsia="仿宋_GB2312" w:cs="仿宋_GB2312"/>
                <w:kern w:val="0"/>
                <w:szCs w:val="21"/>
                <w:lang w:bidi="ar"/>
              </w:rPr>
              <w:t>20</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kern w:val="0"/>
                <w:szCs w:val="21"/>
                <w:lang w:bidi="ar"/>
              </w:rPr>
              <w:t>经济数学</w:t>
            </w:r>
          </w:p>
        </w:tc>
        <w:tc>
          <w:tcPr>
            <w:tcW w:w="1206"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390"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理论部分：函数概念、运算及经济学中常用的经济函数，极限概念、运算法则和第二重要极限公式及其应用，导数概念、公式、运算法则，边际分析，最值问题，弹性分析，不定积分、定积分和定积分的应用、微分方程等。</w:t>
            </w:r>
          </w:p>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2.实践部分：软件计算函数极限、导数、积分、微分方程等。</w:t>
            </w:r>
          </w:p>
        </w:tc>
        <w:tc>
          <w:tcPr>
            <w:tcW w:w="1194" w:type="pct"/>
            <w:shd w:val="clear" w:color="auto" w:fill="FFFFFF" w:themeFill="background1"/>
            <w:vAlign w:val="center"/>
          </w:tcPr>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2.教室要求：多媒体教室和机房；</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3.考核形式：平时成绩45%，期末考试成绩40%，数学实验成绩15%。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kern w:val="0"/>
                <w:szCs w:val="21"/>
                <w:lang w:bidi="ar"/>
              </w:rPr>
            </w:pPr>
            <w:r>
              <w:rPr>
                <w:rFonts w:hint="eastAsia" w:ascii="仿宋_GB2312" w:hAnsi="仿宋_GB2312" w:eastAsia="仿宋_GB2312" w:cs="仿宋_GB2312"/>
                <w:kern w:val="0"/>
                <w:szCs w:val="21"/>
                <w:lang w:bidi="ar"/>
              </w:rPr>
              <w:t>21</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kern w:val="0"/>
                <w:szCs w:val="21"/>
                <w:lang w:bidi="ar"/>
              </w:rPr>
              <w:t>高等数学</w:t>
            </w:r>
          </w:p>
        </w:tc>
        <w:tc>
          <w:tcPr>
            <w:tcW w:w="1206"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390"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理论部分：函数概念、运算及专业与生活中常用的函数，极限概念、运算，导数概念、公式、运算、应用，微分，微分中值定理微分，曲率，不定积分，定积分和定积分的应用，微分方程，向量代数与空间解析几何，多元函数微分学及其应用，重积分和无穷级数等；</w:t>
            </w:r>
          </w:p>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2.实践部分：软件制图，软件计算函数极限、导数、积分、微分方程、偏导数、重积分、级数等。</w:t>
            </w:r>
          </w:p>
        </w:tc>
        <w:tc>
          <w:tcPr>
            <w:tcW w:w="1194" w:type="pct"/>
            <w:shd w:val="clear" w:color="auto" w:fill="FFFFFF" w:themeFill="background1"/>
            <w:vAlign w:val="center"/>
          </w:tcPr>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2.教室要求：多媒体教室和机房；</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3.考核形式：平时成绩45%，期末考试成绩40%，数学实验成绩15%。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kern w:val="0"/>
                <w:szCs w:val="21"/>
                <w:lang w:bidi="ar"/>
              </w:rPr>
            </w:pPr>
            <w:r>
              <w:rPr>
                <w:rFonts w:hint="eastAsia" w:ascii="仿宋_GB2312" w:hAnsi="仿宋_GB2312" w:eastAsia="仿宋_GB2312" w:cs="仿宋_GB2312"/>
                <w:kern w:val="0"/>
                <w:szCs w:val="21"/>
                <w:lang w:bidi="ar"/>
              </w:rPr>
              <w:t>22</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线性代数</w:t>
            </w:r>
          </w:p>
        </w:tc>
        <w:tc>
          <w:tcPr>
            <w:tcW w:w="1206"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线性代数核心知识，掌握矩阵、向量和线性方程组的基本思想与方法，具备必要的矩阵运算、方程组求解及初步特征分析技能，使学生具备运用代数工具进行逻辑推理和空间想象的能力，提高学生利用线性代数方法解决数据处理与模型简化类实际问题的能力，培养学生的严谨思维和科学求实精神。</w:t>
            </w:r>
          </w:p>
        </w:tc>
        <w:tc>
          <w:tcPr>
            <w:tcW w:w="1390"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 矩阵的概念、基本运算（加法、数乘、乘法、转置）及初等行变换，行列式的定义（低阶）、基本性质与计算（2、3阶为主），向量组的线性表示、线性相关性与线性无关性，线性方程组解的判定（有解、无解、唯一解、无穷多解）、求解方法（高斯消元法），矩阵的秩与向量组的秩的概念及其关系，特征值与特征向量的概念、性质及基本计算方法（2、3阶矩阵），特征值的初步应用（如矩阵对角化简介）等。</w:t>
            </w:r>
          </w:p>
        </w:tc>
        <w:tc>
          <w:tcPr>
            <w:tcW w:w="1194" w:type="pct"/>
            <w:shd w:val="clear" w:color="auto" w:fill="FFFFFF" w:themeFill="background1"/>
            <w:vAlign w:val="center"/>
          </w:tcPr>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3.考核形式：平时成绩50%，期末考试成绩50%。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kern w:val="0"/>
                <w:szCs w:val="21"/>
                <w:lang w:bidi="ar"/>
              </w:rPr>
            </w:pPr>
            <w:r>
              <w:rPr>
                <w:rFonts w:hint="eastAsia" w:ascii="仿宋_GB2312" w:hAnsi="仿宋_GB2312" w:cs="仿宋_GB2312"/>
                <w:kern w:val="0"/>
                <w:szCs w:val="21"/>
                <w:lang w:bidi="ar"/>
              </w:rPr>
              <w:t>23</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概率论与数理统计</w:t>
            </w:r>
          </w:p>
        </w:tc>
        <w:tc>
          <w:tcPr>
            <w:tcW w:w="1206"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概率统计知识，掌握随机现象建模与数据分析的基本思想方法，具备必要的概率计算、统计推断及软件应用技能，使学生具备较强的抽象思维与量化分析能力，提高学生利用概率统计工具解决不确定性决策与数据处理类实际问题的能力，培养学生的创新精神和严谨求实的科学精神。</w:t>
            </w:r>
          </w:p>
        </w:tc>
        <w:tc>
          <w:tcPr>
            <w:tcW w:w="1390"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理论部分：随机事件与概率，包括事件的关系与运算、概率的定义与性质、条件概率与独立性；一维和多维随机变量及其分布，常见分布类型；随机变量的数字特征，如数学期望、方差、协方差和相关系数；大数定律与中心极限定理；数理统计的基本概念，参数估计的方法，假设检验的基本思想；</w:t>
            </w:r>
          </w:p>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2.实践部分：运用统计软件（如 Excel、SPSS等）进行数据的收集、整理与分析，包括数据的描述性统计、参数估计和假设检验等实际操作。通过实践环节加深对理论知识的理解，提高学生解决实际问题的能力。</w:t>
            </w:r>
          </w:p>
        </w:tc>
        <w:tc>
          <w:tcPr>
            <w:tcW w:w="1194" w:type="pct"/>
            <w:shd w:val="clear" w:color="auto" w:fill="FFFFFF" w:themeFill="background1"/>
            <w:vAlign w:val="center"/>
          </w:tcPr>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2.教室要求：多媒体教室和机房；</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3.考核形式：平时成绩45%，期末考试成绩40%，数学实验成绩15%。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kern w:val="0"/>
                <w:szCs w:val="21"/>
                <w:lang w:bidi="ar"/>
              </w:rPr>
            </w:pPr>
            <w:r>
              <w:rPr>
                <w:rFonts w:hint="eastAsia" w:ascii="仿宋_GB2312" w:hAnsi="仿宋_GB2312" w:cs="仿宋_GB2312"/>
                <w:kern w:val="0"/>
                <w:szCs w:val="21"/>
                <w:lang w:bidi="ar"/>
              </w:rPr>
              <w:t>24</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离散数学</w:t>
            </w:r>
          </w:p>
        </w:tc>
        <w:tc>
          <w:tcPr>
            <w:tcW w:w="1206"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离散数学核心知识，掌握逻辑推理、离散结构建模与算法分析的基本思想方法，具备必要的形式化描述与组合计算技能，使学生具备较强的抽象思维与严谨的逻辑论证能力，提高学生利用离散工具解决计算机科学中逻辑验证、结构优化与信息处理类实际问题的能力，培养学生的创新精神和科学计算素养。</w:t>
            </w:r>
          </w:p>
        </w:tc>
        <w:tc>
          <w:tcPr>
            <w:tcW w:w="1390" w:type="pct"/>
            <w:shd w:val="clear" w:color="auto" w:fill="FFFFFF" w:themeFill="background1"/>
            <w:vAlign w:val="center"/>
          </w:tcPr>
          <w:p>
            <w:pPr>
              <w:pStyle w:val="47"/>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逻辑部分涵盖命题逻辑和谓词逻辑的基本概念、公式及推理规则；集合论讲解集合运算、关系和函数及其性质；图论包括图的表示、路径问题、图的连通性、树、图的遍历等内容；代数系统介绍代数结构的基本概念及群、环、域等常见代数系统；组合数学涵盖排列组合、鸽巢原理、容斥原理等。</w:t>
            </w:r>
          </w:p>
        </w:tc>
        <w:tc>
          <w:tcPr>
            <w:tcW w:w="1194" w:type="pct"/>
            <w:shd w:val="clear" w:color="auto" w:fill="FFFFFF" w:themeFill="background1"/>
            <w:vAlign w:val="center"/>
          </w:tcPr>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7"/>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3.考核形式：平时成绩50%，期末考试成绩50%。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kern w:val="0"/>
                <w:szCs w:val="21"/>
                <w:lang w:bidi="ar"/>
              </w:rPr>
            </w:pPr>
            <w:r>
              <w:rPr>
                <w:rFonts w:hint="eastAsia" w:ascii="仿宋_GB2312" w:hAnsi="仿宋_GB2312" w:cs="仿宋_GB2312"/>
                <w:color w:val="000000"/>
                <w:kern w:val="0"/>
                <w:szCs w:val="21"/>
                <w:lang w:bidi="ar"/>
              </w:rPr>
              <w:t>25</w:t>
            </w:r>
          </w:p>
        </w:tc>
        <w:tc>
          <w:tcPr>
            <w:tcW w:w="806" w:type="pct"/>
            <w:shd w:val="clear" w:color="auto" w:fill="FFFFFF" w:themeFill="background1"/>
            <w:vAlign w:val="center"/>
          </w:tcPr>
          <w:p>
            <w:pPr>
              <w:pStyle w:val="13"/>
              <w:widowControl/>
              <w:kinsoku w:val="0"/>
              <w:autoSpaceDE w:val="0"/>
              <w:autoSpaceDN w:val="0"/>
              <w:adjustRightInd w:val="0"/>
              <w:snapToGrid w:val="0"/>
              <w:spacing w:before="40"/>
              <w:ind w:left="62" w:right="57"/>
              <w:rPr>
                <w:rFonts w:hint="eastAsia" w:ascii="仿宋_GB2312" w:hAnsi="仿宋_GB2312" w:eastAsia="仿宋_GB2312" w:cs="仿宋_GB2312"/>
                <w:kern w:val="0"/>
                <w:sz w:val="21"/>
                <w:szCs w:val="21"/>
                <w:lang w:bidi="ar"/>
              </w:rPr>
            </w:pPr>
            <w:r>
              <w:rPr>
                <w:rFonts w:hint="eastAsia" w:ascii="仿宋_GB2312" w:hAnsi="仿宋_GB2312" w:eastAsia="仿宋_GB2312" w:cs="仿宋_GB2312"/>
                <w:sz w:val="21"/>
                <w:szCs w:val="21"/>
                <w:lang w:bidi="ar"/>
              </w:rPr>
              <w:t>精益生产与管理基础</w:t>
            </w:r>
          </w:p>
        </w:tc>
        <w:tc>
          <w:tcPr>
            <w:tcW w:w="1206" w:type="pct"/>
            <w:shd w:val="clear" w:color="auto" w:fill="FFFFFF" w:themeFill="background1"/>
            <w:vAlign w:val="center"/>
          </w:tcPr>
          <w:p>
            <w:pPr>
              <w:pStyle w:val="13"/>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390" w:type="pct"/>
            <w:shd w:val="clear" w:color="auto" w:fill="FFFFFF" w:themeFill="background1"/>
            <w:vAlign w:val="center"/>
          </w:tcPr>
          <w:p>
            <w:pPr>
              <w:pStyle w:val="13"/>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安全管理；制造执行系统(MES)；精益生产实训走线；走进精益生产（精益生产基础知识）；精益质量管理。</w:t>
            </w:r>
          </w:p>
        </w:tc>
        <w:tc>
          <w:tcPr>
            <w:tcW w:w="1194" w:type="pct"/>
            <w:shd w:val="clear" w:color="auto" w:fill="FFFFFF" w:themeFill="background1"/>
            <w:vAlign w:val="center"/>
          </w:tcPr>
          <w:p>
            <w:pPr>
              <w:spacing w:before="40" w:line="240" w:lineRule="exact"/>
              <w:ind w:left="62" w:right="57"/>
              <w:rPr>
                <w:rFonts w:hint="eastAsia" w:ascii="仿宋_GB2312" w:hAnsi="仿宋_GB2312" w:eastAsia="仿宋_GB2312" w:cs="仿宋_GB2312"/>
                <w:szCs w:val="21"/>
              </w:rPr>
            </w:pPr>
            <w:r>
              <w:rPr>
                <w:rFonts w:hint="eastAsia" w:ascii="仿宋_GB2312" w:hAnsi="仿宋_GB2312" w:eastAsia="仿宋_GB2312" w:cs="仿宋_GB2312"/>
                <w:szCs w:val="21"/>
                <w:lang w:bidi="ar"/>
              </w:rPr>
              <w:t>1.教学形式：理实一体化；</w:t>
            </w:r>
          </w:p>
          <w:p>
            <w:pPr>
              <w:spacing w:before="40" w:line="240" w:lineRule="exact"/>
              <w:ind w:left="62" w:right="57"/>
              <w:rPr>
                <w:rFonts w:hint="eastAsia" w:ascii="仿宋_GB2312" w:hAnsi="仿宋_GB2312" w:eastAsia="仿宋_GB2312" w:cs="仿宋_GB2312"/>
                <w:szCs w:val="21"/>
              </w:rPr>
            </w:pPr>
            <w:r>
              <w:rPr>
                <w:rFonts w:hint="eastAsia" w:ascii="仿宋_GB2312" w:hAnsi="仿宋_GB2312" w:eastAsia="仿宋_GB2312" w:cs="仿宋_GB2312"/>
                <w:szCs w:val="21"/>
                <w:lang w:bidi="ar"/>
              </w:rPr>
              <w:t>2.教室要求：精益生产实训工厂；</w:t>
            </w:r>
          </w:p>
          <w:p>
            <w:pPr>
              <w:pStyle w:val="13"/>
              <w:widowControl/>
              <w:kinsoku w:val="0"/>
              <w:autoSpaceDE w:val="0"/>
              <w:autoSpaceDN w:val="0"/>
              <w:adjustRightInd w:val="0"/>
              <w:snapToGrid w:val="0"/>
              <w:spacing w:before="40" w:line="240" w:lineRule="exact"/>
              <w:ind w:left="62" w:right="57"/>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3.考核要求：过程性考核（实训走线）100%。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kern w:val="0"/>
                <w:szCs w:val="21"/>
                <w:lang w:bidi="ar"/>
              </w:rPr>
            </w:pPr>
            <w:r>
              <w:rPr>
                <w:rFonts w:hint="eastAsia" w:ascii="仿宋_GB2312" w:hAnsi="仿宋_GB2312" w:cs="仿宋_GB2312"/>
                <w:color w:val="000000"/>
                <w:kern w:val="0"/>
                <w:szCs w:val="21"/>
                <w:lang w:bidi="ar"/>
              </w:rPr>
              <w:t>26</w:t>
            </w:r>
          </w:p>
        </w:tc>
        <w:tc>
          <w:tcPr>
            <w:tcW w:w="806" w:type="pct"/>
            <w:shd w:val="clear" w:color="auto" w:fill="FFFFFF" w:themeFill="background1"/>
            <w:vAlign w:val="center"/>
          </w:tcPr>
          <w:p>
            <w:pPr>
              <w:pStyle w:val="13"/>
              <w:widowControl/>
              <w:kinsoku w:val="0"/>
              <w:autoSpaceDE w:val="0"/>
              <w:autoSpaceDN w:val="0"/>
              <w:adjustRightInd w:val="0"/>
              <w:snapToGrid w:val="0"/>
              <w:spacing w:before="40"/>
              <w:ind w:left="62" w:right="57"/>
              <w:rPr>
                <w:rFonts w:hint="eastAsia" w:ascii="仿宋_GB2312" w:hAnsi="仿宋_GB2312" w:eastAsia="仿宋_GB2312" w:cs="仿宋_GB2312"/>
                <w:kern w:val="0"/>
                <w:sz w:val="21"/>
                <w:szCs w:val="21"/>
                <w:lang w:bidi="ar"/>
              </w:rPr>
            </w:pPr>
            <w:r>
              <w:rPr>
                <w:rFonts w:hint="eastAsia" w:ascii="仿宋_GB2312" w:hAnsi="仿宋_GB2312" w:eastAsia="仿宋_GB2312" w:cs="仿宋_GB2312"/>
                <w:sz w:val="21"/>
                <w:szCs w:val="21"/>
                <w:lang w:bidi="ar"/>
              </w:rPr>
              <w:t>信息技术</w:t>
            </w:r>
          </w:p>
        </w:tc>
        <w:tc>
          <w:tcPr>
            <w:tcW w:w="1206" w:type="pct"/>
            <w:shd w:val="clear" w:color="auto" w:fill="FFFFFF" w:themeFill="background1"/>
            <w:vAlign w:val="center"/>
          </w:tcPr>
          <w:p>
            <w:pPr>
              <w:pStyle w:val="13"/>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390" w:type="pct"/>
            <w:shd w:val="clear" w:color="auto" w:fill="FFFFFF" w:themeFill="background1"/>
            <w:vAlign w:val="center"/>
          </w:tcPr>
          <w:p>
            <w:pPr>
              <w:pStyle w:val="13"/>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包含文档处理、电子表格处理、演示文稿制作、信息检索、新一代信息技术概述、信息素养与社会责任六部分内容。</w:t>
            </w:r>
          </w:p>
        </w:tc>
        <w:tc>
          <w:tcPr>
            <w:tcW w:w="1194" w:type="pct"/>
            <w:shd w:val="clear" w:color="auto" w:fill="FFFFFF" w:themeFill="background1"/>
            <w:vAlign w:val="center"/>
          </w:tcPr>
          <w:p>
            <w:pPr>
              <w:pStyle w:val="13"/>
              <w:widowControl/>
              <w:kinsoku w:val="0"/>
              <w:autoSpaceDE w:val="0"/>
              <w:autoSpaceDN w:val="0"/>
              <w:adjustRightInd w:val="0"/>
              <w:snapToGrid w:val="0"/>
              <w:spacing w:before="40" w:line="240" w:lineRule="exact"/>
              <w:ind w:left="62" w:right="57"/>
              <w:jc w:val="left"/>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1.教学形式：线上、线下混合式教学。</w:t>
            </w:r>
          </w:p>
          <w:p>
            <w:pPr>
              <w:pStyle w:val="13"/>
              <w:widowControl/>
              <w:kinsoku w:val="0"/>
              <w:autoSpaceDE w:val="0"/>
              <w:autoSpaceDN w:val="0"/>
              <w:adjustRightInd w:val="0"/>
              <w:snapToGrid w:val="0"/>
              <w:spacing w:before="40" w:line="240" w:lineRule="exact"/>
              <w:ind w:left="62" w:right="57"/>
              <w:jc w:val="left"/>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2.考核要求：采用线上、线下全过程多元考核评价机制，课程成绩=线上部分（50%）+线下部分（50%）</w:t>
            </w:r>
          </w:p>
          <w:p>
            <w:pPr>
              <w:pStyle w:val="13"/>
              <w:widowControl/>
              <w:kinsoku w:val="0"/>
              <w:autoSpaceDE w:val="0"/>
              <w:autoSpaceDN w:val="0"/>
              <w:adjustRightInd w:val="0"/>
              <w:snapToGrid w:val="0"/>
              <w:spacing w:before="40" w:line="240" w:lineRule="exact"/>
              <w:ind w:left="62" w:right="57"/>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kern w:val="0"/>
                <w:szCs w:val="21"/>
                <w:lang w:bidi="ar"/>
              </w:rPr>
            </w:pPr>
            <w:r>
              <w:rPr>
                <w:rFonts w:hint="eastAsia" w:ascii="仿宋_GB2312" w:hAnsi="仿宋_GB2312" w:cs="仿宋_GB2312"/>
                <w:color w:val="000000"/>
                <w:kern w:val="0"/>
                <w:szCs w:val="21"/>
                <w:lang w:bidi="ar"/>
              </w:rPr>
              <w:t>27</w:t>
            </w:r>
          </w:p>
        </w:tc>
        <w:tc>
          <w:tcPr>
            <w:tcW w:w="806" w:type="pct"/>
            <w:shd w:val="clear" w:color="auto" w:fill="FFFFFF" w:themeFill="background1"/>
            <w:vAlign w:val="center"/>
          </w:tcPr>
          <w:p>
            <w:pPr>
              <w:pStyle w:val="13"/>
              <w:widowControl/>
              <w:kinsoku w:val="0"/>
              <w:autoSpaceDE w:val="0"/>
              <w:autoSpaceDN w:val="0"/>
              <w:adjustRightInd w:val="0"/>
              <w:snapToGrid w:val="0"/>
              <w:spacing w:before="40"/>
              <w:ind w:left="62" w:right="57"/>
              <w:rPr>
                <w:rFonts w:hint="eastAsia" w:ascii="仿宋_GB2312" w:hAnsi="仿宋_GB2312" w:eastAsia="仿宋_GB2312" w:cs="仿宋_GB2312"/>
                <w:kern w:val="0"/>
                <w:sz w:val="21"/>
                <w:szCs w:val="21"/>
                <w:lang w:bidi="ar"/>
              </w:rPr>
            </w:pPr>
            <w:r>
              <w:rPr>
                <w:rFonts w:hint="eastAsia" w:ascii="仿宋_GB2312" w:hAnsi="仿宋_GB2312" w:eastAsia="仿宋_GB2312" w:cs="仿宋_GB2312"/>
                <w:sz w:val="21"/>
                <w:szCs w:val="21"/>
                <w:lang w:bidi="ar"/>
              </w:rPr>
              <w:t>艺术修养</w:t>
            </w:r>
          </w:p>
        </w:tc>
        <w:tc>
          <w:tcPr>
            <w:tcW w:w="1206" w:type="pct"/>
            <w:shd w:val="clear" w:color="auto" w:fill="FFFFFF" w:themeFill="background1"/>
            <w:vAlign w:val="center"/>
          </w:tcPr>
          <w:p>
            <w:pPr>
              <w:pStyle w:val="13"/>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390" w:type="pct"/>
            <w:shd w:val="clear" w:color="auto" w:fill="FFFFFF" w:themeFill="background1"/>
            <w:vAlign w:val="center"/>
          </w:tcPr>
          <w:p>
            <w:pPr>
              <w:pStyle w:val="13"/>
              <w:widowControl/>
              <w:kinsoku w:val="0"/>
              <w:autoSpaceDE w:val="0"/>
              <w:autoSpaceDN w:val="0"/>
              <w:adjustRightInd w:val="0"/>
              <w:snapToGrid w:val="0"/>
              <w:spacing w:before="40" w:line="240" w:lineRule="exact"/>
              <w:ind w:right="57"/>
              <w:jc w:val="left"/>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教学内容主要分为美的历程（艺术理论认知）、美的体验（艺术创作实践）、美的感悟（艺术作品鉴赏）三大模块：</w:t>
            </w:r>
          </w:p>
          <w:p>
            <w:pPr>
              <w:pStyle w:val="13"/>
              <w:widowControl/>
              <w:kinsoku w:val="0"/>
              <w:autoSpaceDE w:val="0"/>
              <w:autoSpaceDN w:val="0"/>
              <w:adjustRightInd w:val="0"/>
              <w:snapToGrid w:val="0"/>
              <w:spacing w:before="40" w:line="240" w:lineRule="exact"/>
              <w:ind w:right="57"/>
              <w:jc w:val="left"/>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美的历程-进行国内外艺术相关理论及现象的认知；</w:t>
            </w:r>
          </w:p>
          <w:p>
            <w:pPr>
              <w:pStyle w:val="13"/>
              <w:widowControl/>
              <w:kinsoku w:val="0"/>
              <w:autoSpaceDE w:val="0"/>
              <w:autoSpaceDN w:val="0"/>
              <w:adjustRightInd w:val="0"/>
              <w:snapToGrid w:val="0"/>
              <w:spacing w:before="40" w:line="240" w:lineRule="exact"/>
              <w:ind w:right="57"/>
              <w:jc w:val="left"/>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美的体验-参与融合地域文化特色的非遗创作体验；</w:t>
            </w:r>
          </w:p>
          <w:p>
            <w:pPr>
              <w:pStyle w:val="13"/>
              <w:widowControl/>
              <w:kinsoku w:val="0"/>
              <w:autoSpaceDE w:val="0"/>
              <w:autoSpaceDN w:val="0"/>
              <w:adjustRightInd w:val="0"/>
              <w:snapToGrid w:val="0"/>
              <w:spacing w:before="40" w:line="240" w:lineRule="exact"/>
              <w:ind w:right="57"/>
              <w:jc w:val="left"/>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美的感悟-对特定艺术作品进行鉴赏与表达，同时描述生活中的艺术。</w:t>
            </w:r>
          </w:p>
        </w:tc>
        <w:tc>
          <w:tcPr>
            <w:tcW w:w="1194" w:type="pct"/>
            <w:shd w:val="clear" w:color="auto" w:fill="FFFFFF" w:themeFill="background1"/>
            <w:vAlign w:val="center"/>
          </w:tcPr>
          <w:p>
            <w:pPr>
              <w:pStyle w:val="13"/>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1.教学形式：混合式授课；</w:t>
            </w:r>
          </w:p>
          <w:p>
            <w:pPr>
              <w:pStyle w:val="13"/>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2.教室要求：多媒体教室；</w:t>
            </w:r>
          </w:p>
          <w:p>
            <w:pPr>
              <w:pStyle w:val="13"/>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3.考核要求：平时考核50%，期末50%。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kern w:val="0"/>
                <w:szCs w:val="21"/>
                <w:lang w:bidi="ar"/>
              </w:rPr>
            </w:pPr>
            <w:r>
              <w:rPr>
                <w:rFonts w:hint="eastAsia" w:ascii="仿宋_GB2312" w:hAnsi="仿宋_GB2312" w:cs="仿宋_GB2312"/>
                <w:color w:val="000000"/>
                <w:kern w:val="0"/>
                <w:szCs w:val="21"/>
                <w:lang w:bidi="ar"/>
              </w:rPr>
              <w:t>28</w:t>
            </w:r>
          </w:p>
        </w:tc>
        <w:tc>
          <w:tcPr>
            <w:tcW w:w="806" w:type="pct"/>
            <w:shd w:val="clear" w:color="auto" w:fill="FFFFFF" w:themeFill="background1"/>
            <w:vAlign w:val="center"/>
          </w:tcPr>
          <w:p>
            <w:pPr>
              <w:pStyle w:val="13"/>
              <w:widowControl/>
              <w:kinsoku w:val="0"/>
              <w:autoSpaceDE w:val="0"/>
              <w:autoSpaceDN w:val="0"/>
              <w:adjustRightInd w:val="0"/>
              <w:snapToGrid w:val="0"/>
              <w:spacing w:before="40"/>
              <w:ind w:left="62"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人工智能应用基础</w:t>
            </w:r>
          </w:p>
        </w:tc>
        <w:tc>
          <w:tcPr>
            <w:tcW w:w="1206" w:type="pct"/>
            <w:shd w:val="clear" w:color="auto" w:fill="FFFFFF" w:themeFill="background1"/>
            <w:vAlign w:val="center"/>
          </w:tcPr>
          <w:p>
            <w:pPr>
              <w:pStyle w:val="13"/>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390" w:type="pct"/>
            <w:shd w:val="clear" w:color="auto" w:fill="FFFFFF" w:themeFill="background1"/>
            <w:vAlign w:val="center"/>
          </w:tcPr>
          <w:p>
            <w:pPr>
              <w:pStyle w:val="13"/>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AI通识：人工智能基本概念、发展简史、技术三驾马车（数据、算法、算力）。</w:t>
            </w:r>
          </w:p>
          <w:p>
            <w:pPr>
              <w:pStyle w:val="13"/>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核心技术：机器学习、计算机视觉、自然语言处理（NLP）、生成式AI（AIGC）的直观原理与产业案例。</w:t>
            </w:r>
          </w:p>
          <w:p>
            <w:pPr>
              <w:pStyle w:val="13"/>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行业应用：结合柳州特色产业（汽车制造、螺蛳粉电商等）的AI+智能制造、新零售、大健康、智慧城市等场景分析。</w:t>
            </w:r>
          </w:p>
          <w:p>
            <w:pPr>
              <w:pStyle w:val="13"/>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实践技能：零代码AI平台（如百度EasyDL）操作、提示词工程（Prompt Engineering）实战、数据素养基础。</w:t>
            </w:r>
          </w:p>
          <w:p>
            <w:pPr>
              <w:pStyle w:val="13"/>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伦理思辨：AI偏见与隐私风险、深度伪造（Deepfake）应对、无人驾驶伦理困境等案例讨论。</w:t>
            </w:r>
          </w:p>
          <w:p>
            <w:pPr>
              <w:pStyle w:val="13"/>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p>
        </w:tc>
        <w:tc>
          <w:tcPr>
            <w:tcW w:w="1194" w:type="pct"/>
            <w:shd w:val="clear" w:color="auto" w:fill="FFFFFF" w:themeFill="background1"/>
            <w:vAlign w:val="center"/>
          </w:tcPr>
          <w:p>
            <w:pPr>
              <w:pStyle w:val="13"/>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1.教学形式：线上线下混合式教学，配套案例实训。</w:t>
            </w:r>
          </w:p>
          <w:p>
            <w:pPr>
              <w:pStyle w:val="13"/>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2.考核要求：全过程多元考核，课程成绩=线上互动（30%）+实践任务（40%）+伦理思辨报告（30%）。</w:t>
            </w:r>
          </w:p>
          <w:p>
            <w:pPr>
              <w:pStyle w:val="13"/>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3.教室要求：计算机机房需满足1人1机，能访问AI工具平台（如Qwen、Midjourney、EasyDL、KIMI）。网络支持实时调用AI生成式工具，配备极域教辅软件及超星课程平台。</w:t>
            </w:r>
          </w:p>
          <w:p>
            <w:pPr>
              <w:pStyle w:val="13"/>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4.资源配套：教材提供PPT、案例素材库。</w:t>
            </w:r>
          </w:p>
        </w:tc>
      </w:tr>
    </w:tbl>
    <w:p>
      <w:pPr>
        <w:pStyle w:val="7"/>
        <w:jc w:val="center"/>
        <w:rPr>
          <w:rFonts w:hint="eastAsia" w:ascii="仿宋" w:hAnsi="仿宋" w:eastAsia="仿宋" w:cs="仿宋"/>
          <w:b/>
          <w:bCs/>
          <w:sz w:val="24"/>
          <w:szCs w:val="24"/>
        </w:rPr>
      </w:pPr>
    </w:p>
    <w:p>
      <w:pPr>
        <w:pStyle w:val="7"/>
        <w:rPr>
          <w:rFonts w:hint="eastAsia" w:ascii="仿宋" w:hAnsi="仿宋" w:eastAsia="仿宋" w:cs="仿宋"/>
          <w:sz w:val="30"/>
          <w:szCs w:val="30"/>
        </w:rPr>
      </w:pPr>
      <w:r>
        <w:rPr>
          <w:rFonts w:hint="eastAsia" w:ascii="仿宋" w:hAnsi="仿宋" w:eastAsia="仿宋" w:cs="仿宋"/>
          <w:sz w:val="30"/>
          <w:szCs w:val="30"/>
        </w:rPr>
        <w:t>2.专业课程设置</w:t>
      </w:r>
    </w:p>
    <w:p>
      <w:pPr>
        <w:pStyle w:val="25"/>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（1）专业对应的职业/岗位分析</w:t>
      </w:r>
    </w:p>
    <w:p>
      <w:pPr>
        <w:pStyle w:val="25"/>
        <w:adjustRightInd w:val="0"/>
        <w:snapToGrid w:val="0"/>
        <w:spacing w:line="360" w:lineRule="auto"/>
        <w:ind w:firstLine="560"/>
        <w:rPr>
          <w:rFonts w:hint="eastAsia" w:ascii="仿宋" w:hAnsi="仿宋" w:eastAsia="仿宋" w:cs="仿宋"/>
          <w:sz w:val="30"/>
          <w:szCs w:val="30"/>
        </w:rPr>
      </w:pPr>
      <w:r>
        <w:rPr>
          <w:rFonts w:hint="eastAsia" w:ascii="仿宋" w:hAnsi="仿宋" w:eastAsia="仿宋" w:cs="仿宋"/>
          <w:sz w:val="28"/>
          <w:szCs w:val="28"/>
        </w:rPr>
        <w:t>见附件。</w:t>
      </w:r>
    </w:p>
    <w:p>
      <w:pPr>
        <w:pStyle w:val="25"/>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（2）主要设置的专业课程</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对设置的专业课程进行简要描述，其中要有企业课程并进行标注。</w:t>
      </w:r>
    </w:p>
    <w:p>
      <w:pPr>
        <w:pStyle w:val="7"/>
        <w:jc w:val="center"/>
        <w:rPr>
          <w:rFonts w:hint="eastAsia" w:ascii="仿宋" w:hAnsi="仿宋" w:eastAsia="仿宋" w:cs="仿宋"/>
          <w:b/>
          <w:bCs/>
          <w:sz w:val="24"/>
          <w:szCs w:val="24"/>
        </w:rPr>
      </w:pPr>
      <w:r>
        <w:rPr>
          <w:rFonts w:hint="eastAsia" w:ascii="仿宋" w:hAnsi="仿宋" w:eastAsia="仿宋" w:cs="仿宋"/>
          <w:b/>
          <w:bCs/>
          <w:sz w:val="24"/>
          <w:szCs w:val="24"/>
        </w:rPr>
        <w:t>表</w:t>
      </w:r>
      <w:r>
        <w:rPr>
          <w:rFonts w:ascii="仿宋" w:hAnsi="仿宋" w:eastAsia="仿宋" w:cs="仿宋"/>
          <w:b/>
          <w:bCs/>
          <w:sz w:val="24"/>
          <w:szCs w:val="24"/>
        </w:rPr>
        <w:t>6-4</w:t>
      </w:r>
      <w:r>
        <w:rPr>
          <w:rFonts w:hint="eastAsia" w:ascii="仿宋" w:hAnsi="仿宋" w:eastAsia="仿宋" w:cs="仿宋"/>
          <w:b/>
          <w:bCs/>
          <w:sz w:val="24"/>
          <w:szCs w:val="24"/>
        </w:rPr>
        <w:t xml:space="preserve"> 专业核心课程描述</w:t>
      </w:r>
    </w:p>
    <w:tbl>
      <w:tblPr>
        <w:tblStyle w:val="1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5"/>
        <w:gridCol w:w="1319"/>
        <w:gridCol w:w="2914"/>
        <w:gridCol w:w="1704"/>
        <w:gridCol w:w="1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75"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序号</w:t>
            </w:r>
          </w:p>
        </w:tc>
        <w:tc>
          <w:tcPr>
            <w:tcW w:w="1319"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课程名称</w:t>
            </w:r>
          </w:p>
        </w:tc>
        <w:tc>
          <w:tcPr>
            <w:tcW w:w="2914"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课程目标</w:t>
            </w:r>
          </w:p>
        </w:tc>
        <w:tc>
          <w:tcPr>
            <w:tcW w:w="1704"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主要内容</w:t>
            </w:r>
          </w:p>
        </w:tc>
        <w:tc>
          <w:tcPr>
            <w:tcW w:w="1704"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75" w:type="dxa"/>
            <w:vAlign w:val="center"/>
          </w:tcPr>
          <w:p>
            <w:pPr>
              <w:spacing w:line="240" w:lineRule="exact"/>
              <w:jc w:val="center"/>
              <w:rPr>
                <w:rFonts w:hint="eastAsia" w:ascii="仿宋_GB2312" w:hAnsi="仿宋_GB2312" w:eastAsia="仿宋_GB2312" w:cs="仿宋_GB2312"/>
                <w:sz w:val="24"/>
              </w:rPr>
            </w:pPr>
            <w:r>
              <w:rPr>
                <w:rFonts w:hint="eastAsia" w:ascii="仿宋_GB2312" w:hAnsi="仿宋_GB2312" w:eastAsia="仿宋_GB2312" w:cs="仿宋_GB2312"/>
                <w:sz w:val="24"/>
              </w:rPr>
              <w:t>1</w:t>
            </w:r>
          </w:p>
        </w:tc>
        <w:tc>
          <w:tcPr>
            <w:tcW w:w="1319" w:type="dxa"/>
            <w:vAlign w:val="center"/>
          </w:tcPr>
          <w:p>
            <w:pPr>
              <w:spacing w:line="240" w:lineRule="exact"/>
              <w:rPr>
                <w:rFonts w:hint="eastAsia" w:ascii="仿宋_GB2312" w:hAnsi="仿宋_GB2312" w:eastAsia="仿宋_GB2312" w:cs="仿宋_GB2312"/>
                <w:sz w:val="24"/>
              </w:rPr>
            </w:pPr>
            <w:r>
              <w:rPr>
                <w:rFonts w:hint="eastAsia" w:ascii="仿宋_GB2312" w:hAnsi="仿宋_GB2312" w:eastAsia="仿宋_GB2312" w:cs="仿宋_GB2312"/>
                <w:szCs w:val="21"/>
              </w:rPr>
              <w:t>跨境电商产品开发</w:t>
            </w:r>
          </w:p>
        </w:tc>
        <w:tc>
          <w:tcPr>
            <w:tcW w:w="2914" w:type="dxa"/>
            <w:vAlign w:val="center"/>
          </w:tcPr>
          <w:p>
            <w:pPr>
              <w:spacing w:line="240" w:lineRule="exact"/>
              <w:rPr>
                <w:rFonts w:hint="eastAsia" w:ascii="仿宋_GB2312" w:hAnsi="仿宋_GB2312" w:eastAsia="仿宋_GB2312" w:cs="仿宋_GB2312"/>
                <w:sz w:val="24"/>
              </w:rPr>
            </w:pPr>
            <w:r>
              <w:rPr>
                <w:rFonts w:hint="eastAsia" w:ascii="仿宋_GB2312" w:hAnsi="仿宋_GB2312" w:eastAsia="仿宋_GB2312" w:cs="仿宋_GB2312"/>
                <w:szCs w:val="21"/>
              </w:rPr>
              <w:t>通过本课程的学习，培养学生掌握跨境电商数据化选品及产品开发的核心能力。精通主流平台选品规则、数据工具及供应链成本模型，熟悉产业带资源。能独立完成市场趋势分析、竞品痛点挖掘、差异化产品筛选、供应链可行性评估及合规风险排查。养成数据驱动决策习惯，强化本土产业应用意识，具备选品与开发全流程闭环执行能力。</w:t>
            </w:r>
          </w:p>
        </w:tc>
        <w:tc>
          <w:tcPr>
            <w:tcW w:w="1704" w:type="dxa"/>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模块1：产品开发基础与平台逻辑</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模块2：数据化选品方法论</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模块3：供应链驱动的产品开发评估</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模块4：产品开发决策与落地验证</w:t>
            </w:r>
          </w:p>
          <w:p>
            <w:pPr>
              <w:spacing w:line="240" w:lineRule="exact"/>
              <w:rPr>
                <w:rFonts w:hint="eastAsia" w:ascii="仿宋_GB2312" w:hAnsi="仿宋_GB2312" w:eastAsia="仿宋_GB2312" w:cs="仿宋_GB2312"/>
                <w:szCs w:val="21"/>
              </w:rPr>
            </w:pPr>
          </w:p>
        </w:tc>
        <w:tc>
          <w:tcPr>
            <w:tcW w:w="1704" w:type="dxa"/>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1.教学形式：混合式授课；</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spacing w:line="240" w:lineRule="exact"/>
              <w:rPr>
                <w:rFonts w:hint="eastAsia" w:ascii="仿宋_GB2312" w:hAnsi="仿宋_GB2312" w:eastAsia="仿宋_GB2312" w:cs="仿宋_GB2312"/>
                <w:sz w:val="24"/>
              </w:rPr>
            </w:pPr>
            <w:r>
              <w:rPr>
                <w:rFonts w:hint="eastAsia" w:ascii="仿宋_GB2312" w:hAnsi="仿宋_GB2312" w:eastAsia="仿宋_GB2312" w:cs="仿宋_GB2312"/>
                <w:szCs w:val="21"/>
              </w:rPr>
              <w:t>3.考核要求：过程性考核60%，期末结果性考核40%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75" w:type="dxa"/>
            <w:vAlign w:val="center"/>
          </w:tcPr>
          <w:p>
            <w:pPr>
              <w:spacing w:line="240" w:lineRule="exact"/>
              <w:jc w:val="center"/>
              <w:rPr>
                <w:rFonts w:hint="eastAsia" w:ascii="仿宋_GB2312" w:hAnsi="仿宋_GB2312" w:eastAsia="仿宋_GB2312" w:cs="仿宋_GB2312"/>
                <w:sz w:val="24"/>
              </w:rPr>
            </w:pPr>
            <w:r>
              <w:rPr>
                <w:rFonts w:hint="eastAsia" w:ascii="仿宋_GB2312" w:hAnsi="仿宋_GB2312" w:eastAsia="仿宋_GB2312" w:cs="仿宋_GB2312"/>
                <w:szCs w:val="21"/>
              </w:rPr>
              <w:t>2</w:t>
            </w:r>
          </w:p>
        </w:tc>
        <w:tc>
          <w:tcPr>
            <w:tcW w:w="1319" w:type="dxa"/>
            <w:vAlign w:val="center"/>
          </w:tcPr>
          <w:p>
            <w:pPr>
              <w:spacing w:line="240" w:lineRule="exact"/>
              <w:rPr>
                <w:rFonts w:hint="eastAsia" w:ascii="仿宋_GB2312" w:hAnsi="仿宋_GB2312" w:eastAsia="仿宋_GB2312" w:cs="仿宋_GB2312"/>
                <w:sz w:val="24"/>
              </w:rPr>
            </w:pPr>
            <w:r>
              <w:rPr>
                <w:rFonts w:hint="eastAsia" w:ascii="仿宋_GB2312" w:hAnsi="仿宋_GB2312" w:eastAsia="仿宋_GB2312" w:cs="仿宋_GB2312"/>
                <w:szCs w:val="21"/>
              </w:rPr>
              <w:t>产品视觉营销设计</w:t>
            </w:r>
          </w:p>
        </w:tc>
        <w:tc>
          <w:tcPr>
            <w:tcW w:w="2914" w:type="dxa"/>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培养学生掌握产品视觉营销设计理论与实践技能，能运用视觉传达原则，结合市场趋势与消费者心理，完成商品图像处理、页面设计及品牌视觉呈现。理解视觉营销概念与应用场景，掌握其在电商等领域的作用；熟练操作Photoshop等软件，具备产品拍摄与后期处理能力；掌握电商详情页、广告海报等设计方法以提升购买欲；具备品牌视觉形象设计基础能力，能构建统一视觉风格；培养审美与创意思维，在真实项目中实现视觉优化与营销转化。</w:t>
            </w:r>
          </w:p>
        </w:tc>
        <w:tc>
          <w:tcPr>
            <w:tcW w:w="1704" w:type="dxa"/>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Photoshop等常用视觉设计工具的操作基础与案例实操；商品图片调色、去瑕疵、背景处理等后期技巧，AI工具进行图像生成、风格迁移等，电商平台主图、详情页、轮播图、活动海报的设计规范与实战训练。</w:t>
            </w:r>
          </w:p>
          <w:p>
            <w:pPr>
              <w:spacing w:line="240" w:lineRule="exact"/>
              <w:rPr>
                <w:rFonts w:hint="eastAsia" w:ascii="仿宋_GB2312" w:hAnsi="仿宋_GB2312" w:eastAsia="仿宋_GB2312" w:cs="仿宋_GB2312"/>
                <w:sz w:val="24"/>
              </w:rPr>
            </w:pPr>
          </w:p>
        </w:tc>
        <w:tc>
          <w:tcPr>
            <w:tcW w:w="1704" w:type="dxa"/>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1.教学形式：理实一体化；</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2.教室要求：机房</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Photoshop cs6以上版本）；</w:t>
            </w:r>
          </w:p>
          <w:p>
            <w:pPr>
              <w:spacing w:line="240" w:lineRule="exact"/>
              <w:rPr>
                <w:rFonts w:hint="eastAsia" w:ascii="仿宋_GB2312" w:hAnsi="仿宋_GB2312" w:eastAsia="仿宋_GB2312" w:cs="仿宋_GB2312"/>
                <w:sz w:val="24"/>
              </w:rPr>
            </w:pPr>
            <w:r>
              <w:rPr>
                <w:rFonts w:hint="eastAsia" w:ascii="仿宋_GB2312" w:hAnsi="仿宋_GB2312" w:eastAsia="仿宋_GB2312" w:cs="仿宋_GB2312"/>
                <w:szCs w:val="21"/>
              </w:rPr>
              <w:t>3.考核要求：50%（考勤、课堂参与度、个人作业等），期末考核50%（期末大作业形式）。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75" w:type="dxa"/>
            <w:vAlign w:val="center"/>
          </w:tcPr>
          <w:p>
            <w:pPr>
              <w:spacing w:line="24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3</w:t>
            </w:r>
          </w:p>
        </w:tc>
        <w:tc>
          <w:tcPr>
            <w:tcW w:w="1319" w:type="dxa"/>
            <w:vAlign w:val="center"/>
          </w:tcPr>
          <w:p>
            <w:pPr>
              <w:rPr>
                <w:rFonts w:hint="eastAsia" w:ascii="仿宋_GB2312" w:hAnsi="仿宋_GB2312" w:eastAsia="仿宋_GB2312" w:cs="仿宋_GB2312"/>
                <w:szCs w:val="21"/>
              </w:rPr>
            </w:pPr>
            <w:r>
              <w:rPr>
                <w:rFonts w:hint="eastAsia" w:ascii="仿宋_GB2312" w:hAnsi="仿宋_GB2312" w:eastAsia="仿宋_GB2312" w:cs="仿宋_GB2312"/>
                <w:szCs w:val="21"/>
              </w:rPr>
              <w:t>跨境平台店铺运营与管理</w:t>
            </w:r>
          </w:p>
        </w:tc>
        <w:tc>
          <w:tcPr>
            <w:tcW w:w="2914" w:type="dxa"/>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通过本课程的学习，学生能熟知主流及新兴跨境电商平台的特点及规则，并能够在跨境电商主流平台进行跨境电商全流程运营与管理，培养学生基于跨境电商主流及新兴平台的高阶运营能力；能制定并执行多平台、多市场的运营策略；能熟练运用平台工具及第三方工具进行深度数据分析等、风险管理与合规能力、资源整合与供应链管理能力等。同时在学习跨境平台运营与管理的过程中培养管理思维、</w:t>
            </w:r>
            <w:r>
              <w:rPr>
                <w:rFonts w:hint="eastAsia" w:ascii="仿宋_GB2312" w:hAnsi="仿宋_GB2312" w:eastAsia="仿宋_GB2312" w:cs="仿宋_GB2312"/>
                <w:szCs w:val="21"/>
                <w:lang w:val="en-AU"/>
              </w:rPr>
              <w:t>合规意识、创新创业意识、系统思维、流程思维及国际视野。</w:t>
            </w:r>
          </w:p>
        </w:tc>
        <w:tc>
          <w:tcPr>
            <w:tcW w:w="1704" w:type="dxa"/>
            <w:vAlign w:val="center"/>
          </w:tcPr>
          <w:p>
            <w:pPr>
              <w:spacing w:line="240" w:lineRule="exact"/>
              <w:rPr>
                <w:rFonts w:hint="eastAsia" w:ascii="仿宋_GB2312" w:hAnsi="仿宋_GB2312" w:eastAsia="仿宋_GB2312" w:cs="仿宋_GB2312"/>
                <w:szCs w:val="21"/>
              </w:rPr>
            </w:pP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1.主要跨境电商平台的核心规则、政策体系、商业模式及目标市场特点等。</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2.跨境电商主流平台全流程运营实操</w:t>
            </w:r>
          </w:p>
        </w:tc>
        <w:tc>
          <w:tcPr>
            <w:tcW w:w="1704" w:type="dxa"/>
            <w:vAlign w:val="center"/>
          </w:tcPr>
          <w:p>
            <w:pPr>
              <w:spacing w:line="240" w:lineRule="exact"/>
              <w:jc w:val="left"/>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1.教学形式：混合式授课；</w:t>
            </w:r>
          </w:p>
          <w:p>
            <w:pPr>
              <w:spacing w:line="240" w:lineRule="exact"/>
              <w:jc w:val="left"/>
              <w:rPr>
                <w:rFonts w:hint="eastAsia" w:ascii="仿宋_GB2312" w:hAnsi="仿宋_GB2312" w:eastAsia="仿宋_GB2312" w:cs="仿宋_GB2312"/>
                <w:szCs w:val="21"/>
              </w:rPr>
            </w:pPr>
            <w:r>
              <w:rPr>
                <w:rFonts w:hint="eastAsia" w:ascii="仿宋_GB2312" w:hAnsi="仿宋_GB2312" w:eastAsia="仿宋_GB2312" w:cs="仿宋_GB2312"/>
                <w:szCs w:val="21"/>
              </w:rPr>
              <w:t>2.教室要求：计算机房；</w:t>
            </w:r>
          </w:p>
          <w:p>
            <w:pPr>
              <w:spacing w:line="240" w:lineRule="exact"/>
              <w:jc w:val="left"/>
              <w:rPr>
                <w:rFonts w:hint="eastAsia" w:ascii="仿宋_GB2312" w:hAnsi="仿宋_GB2312" w:eastAsia="仿宋_GB2312" w:cs="仿宋_GB2312"/>
                <w:szCs w:val="21"/>
              </w:rPr>
            </w:pPr>
            <w:r>
              <w:rPr>
                <w:rFonts w:hint="eastAsia" w:ascii="仿宋_GB2312" w:hAnsi="仿宋_GB2312" w:eastAsia="仿宋_GB2312" w:cs="仿宋_GB2312"/>
                <w:szCs w:val="21"/>
              </w:rPr>
              <w:t>3.考核要求：结果性考核+过程性考核，</w:t>
            </w:r>
          </w:p>
          <w:p>
            <w:pPr>
              <w:spacing w:line="240" w:lineRule="exact"/>
              <w:jc w:val="left"/>
              <w:rPr>
                <w:rFonts w:hint="eastAsia" w:ascii="仿宋_GB2312" w:hAnsi="仿宋_GB2312" w:eastAsia="仿宋_GB2312" w:cs="仿宋_GB2312"/>
                <w:szCs w:val="21"/>
              </w:rPr>
            </w:pPr>
            <w:r>
              <w:rPr>
                <w:rFonts w:hint="eastAsia" w:ascii="仿宋_GB2312" w:hAnsi="仿宋_GB2312" w:eastAsia="仿宋_GB2312" w:cs="仿宋_GB2312"/>
                <w:szCs w:val="21"/>
              </w:rPr>
              <w:t>个人素养考核：10%                个人作业及测试：40%</w:t>
            </w:r>
          </w:p>
          <w:p>
            <w:pPr>
              <w:spacing w:line="240" w:lineRule="exact"/>
              <w:jc w:val="left"/>
              <w:rPr>
                <w:rFonts w:hint="eastAsia" w:ascii="仿宋_GB2312" w:hAnsi="仿宋_GB2312" w:eastAsia="仿宋_GB2312" w:cs="仿宋_GB2312"/>
                <w:szCs w:val="21"/>
              </w:rPr>
            </w:pPr>
            <w:r>
              <w:rPr>
                <w:rFonts w:hint="eastAsia" w:ascii="仿宋_GB2312" w:hAnsi="仿宋_GB2312" w:eastAsia="仿宋_GB2312" w:cs="仿宋_GB2312"/>
                <w:szCs w:val="21"/>
              </w:rPr>
              <w:t>期末个人实操考核：50%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75" w:type="dxa"/>
            <w:vAlign w:val="center"/>
          </w:tcPr>
          <w:p>
            <w:pPr>
              <w:spacing w:line="24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4</w:t>
            </w:r>
          </w:p>
        </w:tc>
        <w:tc>
          <w:tcPr>
            <w:tcW w:w="1319" w:type="dxa"/>
            <w:vAlign w:val="center"/>
          </w:tcPr>
          <w:p>
            <w:pPr>
              <w:rPr>
                <w:rFonts w:hint="eastAsia" w:ascii="仿宋_GB2312" w:hAnsi="仿宋_GB2312" w:eastAsia="仿宋_GB2312" w:cs="仿宋_GB2312"/>
                <w:szCs w:val="21"/>
              </w:rPr>
            </w:pPr>
            <w:r>
              <w:rPr>
                <w:rFonts w:hint="eastAsia" w:ascii="仿宋_GB2312" w:hAnsi="仿宋_GB2312" w:eastAsia="仿宋_GB2312" w:cs="仿宋_GB2312"/>
                <w:szCs w:val="21"/>
              </w:rPr>
              <w:t>跨境电商客服管理</w:t>
            </w:r>
          </w:p>
        </w:tc>
        <w:tc>
          <w:tcPr>
            <w:tcW w:w="2914" w:type="dxa"/>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本课程培养学生掌握跨境电商客户全生命周期管理理论与智能客服技术，能运用Zoho CRM等实施客户数据分层（RFM）与自动化流程设计，并训练AI智能体处理跨境客户咨询；通过跨文化沟通训练、智能体协同决策及危机公关实训，具备差评溯源、忠诚度体系搭建等能力；最终形成兼顾效率与伦理的客服方案，支持企业出海服务。</w:t>
            </w:r>
          </w:p>
        </w:tc>
        <w:tc>
          <w:tcPr>
            <w:tcW w:w="1704" w:type="dxa"/>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跨境电商行业认知与客户服务概述、客户全生命周期模型、跨境客户数据采集方法、RFM模型与客户价值分层、跨文化沟通与客服服务设计、跨境客户数据库搭建、跨境客户智能体技术应用</w:t>
            </w:r>
          </w:p>
        </w:tc>
        <w:tc>
          <w:tcPr>
            <w:tcW w:w="1704" w:type="dxa"/>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1.教学形式：混合式授课；</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rPr>
                <w:rFonts w:hint="eastAsia" w:ascii="仿宋_GB2312" w:hAnsi="仿宋_GB2312" w:eastAsia="仿宋_GB2312" w:cs="仿宋_GB2312"/>
                <w:szCs w:val="21"/>
              </w:rPr>
            </w:pPr>
            <w:r>
              <w:rPr>
                <w:rFonts w:hint="eastAsia" w:ascii="仿宋_GB2312" w:hAnsi="仿宋_GB2312" w:eastAsia="仿宋_GB2312" w:cs="仿宋_GB2312"/>
                <w:szCs w:val="21"/>
              </w:rPr>
              <w:t>3.考核要求：过程性考核30%，期末结果性考核70%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75" w:type="dxa"/>
            <w:vAlign w:val="center"/>
          </w:tcPr>
          <w:p>
            <w:pPr>
              <w:spacing w:line="24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5</w:t>
            </w:r>
          </w:p>
        </w:tc>
        <w:tc>
          <w:tcPr>
            <w:tcW w:w="1319" w:type="dxa"/>
            <w:vAlign w:val="center"/>
          </w:tcPr>
          <w:p>
            <w:pPr>
              <w:rPr>
                <w:rFonts w:hint="eastAsia" w:ascii="仿宋_GB2312" w:hAnsi="仿宋_GB2312" w:eastAsia="仿宋_GB2312" w:cs="仿宋_GB2312"/>
                <w:szCs w:val="21"/>
              </w:rPr>
            </w:pPr>
            <w:r>
              <w:rPr>
                <w:rFonts w:hint="eastAsia" w:ascii="仿宋_GB2312" w:hAnsi="仿宋_GB2312" w:eastAsia="仿宋_GB2312" w:cs="仿宋_GB2312"/>
                <w:szCs w:val="21"/>
              </w:rPr>
              <w:t>跨境采购与供应链管理</w:t>
            </w:r>
          </w:p>
        </w:tc>
        <w:tc>
          <w:tcPr>
            <w:tcW w:w="2914" w:type="dxa"/>
            <w:vAlign w:val="center"/>
          </w:tcPr>
          <w:p>
            <w:pPr>
              <w:spacing w:line="240" w:lineRule="exact"/>
              <w:rPr>
                <w:rFonts w:hint="eastAsia" w:ascii="仿宋_GB2312" w:hAnsi="仿宋_GB2312" w:eastAsia="仿宋_GB2312" w:cs="仿宋_GB2312"/>
                <w:sz w:val="24"/>
              </w:rPr>
            </w:pPr>
            <w:r>
              <w:rPr>
                <w:rFonts w:hint="eastAsia" w:ascii="仿宋_GB2312" w:hAnsi="仿宋_GB2312" w:eastAsia="仿宋_GB2312" w:cs="仿宋_GB2312"/>
                <w:szCs w:val="21"/>
              </w:rPr>
              <w:t>通过本课程的学习，系统掌握跨境供应链管理的基本概念、理论框架和方法技术，理解经济全球化背景下跨境采购的特点与挑战，熟悉跨境贸易与跨境物流的关联性，掌握国际单证管理、贸易结算等核心知识，构建起完整的跨境供应链管理知识体系，理解从采购到运输、仓储再到信息管理的全流程运作原理。</w:t>
            </w:r>
          </w:p>
        </w:tc>
        <w:tc>
          <w:tcPr>
            <w:tcW w:w="1704" w:type="dxa"/>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1.国际物流的核心概念与理论基础。</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2.国际物流的各项核心业务职能。</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3.物流服务设计、质量控制、成本优化及第三方物流合作等。</w:t>
            </w:r>
          </w:p>
        </w:tc>
        <w:tc>
          <w:tcPr>
            <w:tcW w:w="1704" w:type="dxa"/>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1.教学形式：混合式授课；</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3.考核要求：过程性考核 50%，过程性考核50%。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75" w:type="dxa"/>
            <w:vAlign w:val="center"/>
          </w:tcPr>
          <w:p>
            <w:pPr>
              <w:spacing w:line="24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6</w:t>
            </w:r>
          </w:p>
        </w:tc>
        <w:tc>
          <w:tcPr>
            <w:tcW w:w="1319" w:type="dxa"/>
            <w:vAlign w:val="center"/>
          </w:tcPr>
          <w:p>
            <w:pPr>
              <w:widowControl/>
              <w:spacing w:beforeAutospacing="1" w:afterAutospacing="1"/>
              <w:rPr>
                <w:rFonts w:hint="eastAsia"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跨境物流与关务</w:t>
            </w:r>
          </w:p>
        </w:tc>
        <w:tc>
          <w:tcPr>
            <w:tcW w:w="2914" w:type="dxa"/>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通过本课程的学习，全面地、系统地掌握跨境物流基本概念、模式、流程和信息管理技术；掌握跨境通关基础和跨境通关流程，使学生能够独立完成跨境物流方案设计及关务单证处理，并具备跨境电商9610、9710、9810、1210四中通关模式实操能力，具备应对物流延误、清关纠纷等突发问题的解决能力。同时，培养学生跨文化沟通能力。</w:t>
            </w:r>
          </w:p>
        </w:tc>
        <w:tc>
          <w:tcPr>
            <w:tcW w:w="1704" w:type="dxa"/>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跨境物流基本概念、跨境物流模式、跨境物流流程、跨境物流策略、跨境物流中的通关与报关、跨境物流信息管理技术应用。</w:t>
            </w:r>
          </w:p>
          <w:p>
            <w:pPr>
              <w:spacing w:line="240" w:lineRule="exact"/>
              <w:rPr>
                <w:rFonts w:hint="eastAsia" w:ascii="仿宋_GB2312" w:hAnsi="仿宋_GB2312" w:eastAsia="仿宋_GB2312" w:cs="仿宋_GB2312"/>
                <w:szCs w:val="21"/>
              </w:rPr>
            </w:pPr>
          </w:p>
        </w:tc>
        <w:tc>
          <w:tcPr>
            <w:tcW w:w="1704" w:type="dxa"/>
            <w:vAlign w:val="center"/>
          </w:tcPr>
          <w:p>
            <w:pPr>
              <w:widowControl/>
              <w:numPr>
                <w:ilvl w:val="0"/>
                <w:numId w:val="1"/>
              </w:numPr>
              <w:adjustRightInd w:val="0"/>
              <w:snapToGrid w:val="0"/>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教学形式：线下授课；</w:t>
            </w:r>
          </w:p>
          <w:p>
            <w:pPr>
              <w:widowControl/>
              <w:adjustRightInd w:val="0"/>
              <w:snapToGrid w:val="0"/>
              <w:rPr>
                <w:rFonts w:hint="eastAsia"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2.教室要求：多媒体教室；</w:t>
            </w:r>
          </w:p>
          <w:p>
            <w:pPr>
              <w:widowControl/>
              <w:adjustRightInd w:val="0"/>
              <w:snapToGrid w:val="0"/>
              <w:rPr>
                <w:rFonts w:hint="eastAsia"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3.考核要求：平时考核 40%，期末测试成绩 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75" w:type="dxa"/>
            <w:vAlign w:val="center"/>
          </w:tcPr>
          <w:p>
            <w:pPr>
              <w:spacing w:line="24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7</w:t>
            </w:r>
          </w:p>
        </w:tc>
        <w:tc>
          <w:tcPr>
            <w:tcW w:w="1319" w:type="dxa"/>
            <w:vAlign w:val="center"/>
          </w:tcPr>
          <w:p>
            <w:pPr>
              <w:rPr>
                <w:rFonts w:hint="eastAsia" w:ascii="仿宋_GB2312" w:hAnsi="仿宋_GB2312" w:eastAsia="仿宋_GB2312" w:cs="仿宋_GB2312"/>
                <w:szCs w:val="21"/>
              </w:rPr>
            </w:pPr>
            <w:r>
              <w:rPr>
                <w:rFonts w:hint="eastAsia" w:ascii="仿宋_GB2312" w:hAnsi="仿宋_GB2312" w:eastAsia="仿宋_GB2312" w:cs="仿宋_GB2312"/>
                <w:szCs w:val="21"/>
              </w:rPr>
              <w:t>跨境电商数字营销</w:t>
            </w:r>
          </w:p>
        </w:tc>
        <w:tc>
          <w:tcPr>
            <w:tcW w:w="2914" w:type="dxa"/>
            <w:vAlign w:val="center"/>
          </w:tcPr>
          <w:p>
            <w:pPr>
              <w:spacing w:line="240" w:lineRule="exact"/>
              <w:rPr>
                <w:rFonts w:hint="eastAsia" w:ascii="仿宋_GB2312" w:hAnsi="仿宋_GB2312" w:eastAsia="仿宋_GB2312" w:cs="仿宋_GB2312"/>
                <w:sz w:val="24"/>
              </w:rPr>
            </w:pPr>
            <w:r>
              <w:rPr>
                <w:rFonts w:hint="eastAsia" w:ascii="仿宋_GB2312" w:hAnsi="仿宋_GB2312" w:eastAsia="仿宋_GB2312" w:cs="仿宋_GB2312"/>
                <w:szCs w:val="21"/>
              </w:rPr>
              <w:t>通过本课程的学习，深入理解跨境电商数字营销的核心概念，系统掌握主流跨境电商平台的营销环境，系统学习跨境电商市场调研方法，掌握搜索引擎营销、社交媒体营销、内容营销、电子邮件营销等主要数字营销渠道在跨境场景下的应用策略与技巧，理解跨文化沟通与营销的基本原理，能运用数据分析驱动营销决策，培养学生在数字营销方面的实践操作能力。</w:t>
            </w:r>
          </w:p>
        </w:tc>
        <w:tc>
          <w:tcPr>
            <w:tcW w:w="1704" w:type="dxa"/>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跨境电商市场定位与目标客户洞察、付费广告营销、社交媒体与内容营销、电子邮件营销与用户关系管理、数据驱动营销与效果分析</w:t>
            </w:r>
          </w:p>
        </w:tc>
        <w:tc>
          <w:tcPr>
            <w:tcW w:w="1704" w:type="dxa"/>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1.教学形式：混合式授课；</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3.考核要求：过程性考核 50%，过程性考核50%。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75" w:type="dxa"/>
            <w:vAlign w:val="center"/>
          </w:tcPr>
          <w:p>
            <w:pPr>
              <w:spacing w:line="24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8</w:t>
            </w:r>
          </w:p>
        </w:tc>
        <w:tc>
          <w:tcPr>
            <w:tcW w:w="1319" w:type="dxa"/>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跨境电商数据分析</w:t>
            </w:r>
          </w:p>
        </w:tc>
        <w:tc>
          <w:tcPr>
            <w:tcW w:w="2914" w:type="dxa"/>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通过本课程的学习，系统地掌握跨境电商数据分析的基本理论、方法与技术，能够熟练运用主流工具进行数据采集、处理及分析，并基于数据分析结果优化业务决策，培养学生在跨境电商领域运用数据解决实际问题和驱动业务增长的能力。</w:t>
            </w:r>
          </w:p>
        </w:tc>
        <w:tc>
          <w:tcPr>
            <w:tcW w:w="1704" w:type="dxa"/>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数据分析基础</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、数据采集与处理、数据分析工具与方法、市场数据分析、客户数据分析、销售数据分析、数据驱动的决策制定</w:t>
            </w:r>
          </w:p>
        </w:tc>
        <w:tc>
          <w:tcPr>
            <w:tcW w:w="1704" w:type="dxa"/>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1.教学形式：理实一体化；</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2.教室要求：实训室；</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3.考核要求：平时考核 60%，线期末测试成绩40%。</w:t>
            </w:r>
          </w:p>
        </w:tc>
      </w:tr>
    </w:tbl>
    <w:p>
      <w:pPr>
        <w:pStyle w:val="7"/>
        <w:rPr>
          <w:rFonts w:hint="eastAsia" w:ascii="仿宋" w:hAnsi="仿宋" w:eastAsia="仿宋" w:cs="仿宋"/>
          <w:sz w:val="30"/>
          <w:szCs w:val="30"/>
        </w:rPr>
      </w:pPr>
      <w:r>
        <w:rPr>
          <w:rFonts w:hint="eastAsia" w:ascii="仿宋" w:hAnsi="仿宋" w:eastAsia="仿宋" w:cs="仿宋"/>
          <w:sz w:val="30"/>
          <w:szCs w:val="30"/>
        </w:rPr>
        <w:t>（3）综合实践课程</w:t>
      </w:r>
    </w:p>
    <w:p>
      <w:pPr>
        <w:pStyle w:val="25"/>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①实践教学体系</w:t>
      </w:r>
    </w:p>
    <w:p>
      <w:pPr>
        <w:pStyle w:val="25"/>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本专业采用“学-仿-做-创”的实验实训教学体系，既从“基础学习-仿真训练-实战操作-创新实践”分阶段培养学生的综合能力。基础学习阶段重点在于提升学生的语言能力、深入了解东盟文化、掌握汽车产业知识及跨境电商基础流程。仿真训练阶段，通过虚拟仿真平台的操作练习，让学生掌握平台运营、数字营销、数据分析及物流通关等技能。实战操作阶段，学生将参与中国制造网、SHOPEE店铺运营及汽车跨境短视频营销等项目，以实际操作提升实战经验。创新实践阶段，鼓励学生开展跨境电商创业、独立站运营，并完成毕业设计和实习，以培养创新能力和实际工作能力。</w:t>
      </w:r>
    </w:p>
    <w:p>
      <w:pPr>
        <w:pStyle w:val="25"/>
        <w:adjustRightInd w:val="0"/>
        <w:snapToGrid w:val="0"/>
        <w:spacing w:line="360" w:lineRule="auto"/>
        <w:ind w:firstLine="0" w:firstLineChars="0"/>
        <w:jc w:val="center"/>
        <w:rPr>
          <w:rFonts w:hint="eastAsia" w:ascii="仿宋" w:hAnsi="仿宋" w:eastAsia="仿宋" w:cs="仿宋"/>
          <w:b/>
          <w:bCs/>
          <w:sz w:val="24"/>
        </w:rPr>
      </w:pPr>
      <w:r>
        <w:rPr>
          <w:rFonts w:hint="eastAsia" w:ascii="仿宋" w:hAnsi="仿宋" w:eastAsia="仿宋" w:cs="仿宋"/>
          <w:b/>
          <w:bCs/>
          <w:sz w:val="24"/>
        </w:rPr>
        <w:drawing>
          <wp:inline distT="0" distB="0" distL="114300" distR="114300">
            <wp:extent cx="5260340" cy="3004185"/>
            <wp:effectExtent l="0" t="0" r="0" b="5715"/>
            <wp:docPr id="1" name="图片 1" descr="C:/Users/abcwx/Desktop/跨境电商实践体系图11.9.png跨境电商实践体系图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bcwx/Desktop/跨境电商实践体系图11.9.png跨境电商实践体系图11.9"/>
                    <pic:cNvPicPr>
                      <a:picLocks noChangeAspect="1"/>
                    </pic:cNvPicPr>
                  </pic:nvPicPr>
                  <pic:blipFill>
                    <a:blip r:embed="rId9"/>
                    <a:srcRect t="4774" b="4774"/>
                    <a:stretch>
                      <a:fillRect/>
                    </a:stretch>
                  </pic:blipFill>
                  <pic:spPr>
                    <a:xfrm>
                      <a:off x="0" y="0"/>
                      <a:ext cx="5260340" cy="3004185"/>
                    </a:xfrm>
                    <a:prstGeom prst="rect">
                      <a:avLst/>
                    </a:prstGeom>
                  </pic:spPr>
                </pic:pic>
              </a:graphicData>
            </a:graphic>
          </wp:inline>
        </w:drawing>
      </w:r>
    </w:p>
    <w:p>
      <w:pPr>
        <w:pStyle w:val="25"/>
        <w:adjustRightInd w:val="0"/>
        <w:spacing w:after="319" w:afterLines="100"/>
        <w:ind w:firstLine="482"/>
        <w:jc w:val="center"/>
        <w:rPr>
          <w:rFonts w:hint="eastAsia" w:ascii="仿宋" w:hAnsi="仿宋" w:eastAsia="仿宋" w:cs="仿宋"/>
          <w:b/>
          <w:bCs/>
          <w:sz w:val="24"/>
        </w:rPr>
      </w:pPr>
      <w:r>
        <w:rPr>
          <w:rFonts w:hint="eastAsia" w:ascii="仿宋" w:hAnsi="仿宋" w:eastAsia="仿宋" w:cs="仿宋"/>
          <w:b/>
          <w:bCs/>
          <w:sz w:val="24"/>
        </w:rPr>
        <w:t>图6-2 跨境电子商务实验实训教学体系</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②综合实践课程</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为提升学生解决具体问题的实践能力，提高专业技能技术水平，养成良好的职业素养，综合实践教学环节主要包括实训、课程设计、实习、毕业设计等。要有在企业实践环节的安排。</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a.实训安排</w:t>
      </w:r>
    </w:p>
    <w:tbl>
      <w:tblPr>
        <w:tblStyle w:val="16"/>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3"/>
        <w:gridCol w:w="2060"/>
        <w:gridCol w:w="887"/>
        <w:gridCol w:w="1572"/>
        <w:gridCol w:w="1672"/>
        <w:gridCol w:w="14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452"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序号</w:t>
            </w:r>
          </w:p>
        </w:tc>
        <w:tc>
          <w:tcPr>
            <w:tcW w:w="1220"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实训环节</w:t>
            </w:r>
          </w:p>
        </w:tc>
        <w:tc>
          <w:tcPr>
            <w:tcW w:w="525"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学期</w:t>
            </w:r>
          </w:p>
        </w:tc>
        <w:tc>
          <w:tcPr>
            <w:tcW w:w="931"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产出/成果</w:t>
            </w:r>
          </w:p>
        </w:tc>
        <w:tc>
          <w:tcPr>
            <w:tcW w:w="990"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依托课程</w:t>
            </w:r>
          </w:p>
        </w:tc>
        <w:tc>
          <w:tcPr>
            <w:tcW w:w="879"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452" w:type="pct"/>
            <w:vAlign w:val="center"/>
          </w:tcPr>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1</w:t>
            </w:r>
          </w:p>
        </w:tc>
        <w:tc>
          <w:tcPr>
            <w:tcW w:w="1220"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跨境电商产品开发设计实操</w:t>
            </w:r>
          </w:p>
        </w:tc>
        <w:tc>
          <w:tcPr>
            <w:tcW w:w="525" w:type="pct"/>
            <w:vAlign w:val="center"/>
          </w:tcPr>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2</w:t>
            </w:r>
          </w:p>
        </w:tc>
        <w:tc>
          <w:tcPr>
            <w:tcW w:w="931"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跨境</w:t>
            </w:r>
            <w:r>
              <w:rPr>
                <w:rFonts w:ascii="仿宋_GB2312" w:hAnsi="仿宋_GB2312" w:eastAsia="仿宋_GB2312" w:cs="仿宋_GB2312"/>
                <w:szCs w:val="21"/>
                <w:shd w:val="clear" w:color="auto" w:fill="FFFFFF"/>
              </w:rPr>
              <w:t>选品分析报告</w:t>
            </w:r>
          </w:p>
        </w:tc>
        <w:tc>
          <w:tcPr>
            <w:tcW w:w="990"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跨境电商产品开发</w:t>
            </w:r>
          </w:p>
        </w:tc>
        <w:tc>
          <w:tcPr>
            <w:tcW w:w="879"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AI数字营销工坊、龙工厂跨境电商产业园、广西异元科技有限公司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452" w:type="pct"/>
            <w:vAlign w:val="center"/>
          </w:tcPr>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2</w:t>
            </w:r>
          </w:p>
        </w:tc>
        <w:tc>
          <w:tcPr>
            <w:tcW w:w="1220"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ascii="仿宋_GB2312" w:hAnsi="仿宋_GB2312" w:eastAsia="仿宋_GB2312" w:cs="仿宋_GB2312"/>
                <w:szCs w:val="21"/>
                <w:shd w:val="clear" w:color="auto" w:fill="FFFFFF"/>
              </w:rPr>
              <w:t>跨境平台店铺运营与管理</w:t>
            </w:r>
            <w:r>
              <w:rPr>
                <w:rFonts w:hint="eastAsia" w:ascii="仿宋_GB2312" w:hAnsi="仿宋_GB2312" w:eastAsia="仿宋_GB2312" w:cs="仿宋_GB2312"/>
                <w:szCs w:val="21"/>
                <w:shd w:val="clear" w:color="auto" w:fill="FFFFFF"/>
              </w:rPr>
              <w:t>实操</w:t>
            </w:r>
          </w:p>
        </w:tc>
        <w:tc>
          <w:tcPr>
            <w:tcW w:w="525" w:type="pct"/>
            <w:vAlign w:val="center"/>
          </w:tcPr>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3</w:t>
            </w:r>
          </w:p>
        </w:tc>
        <w:tc>
          <w:tcPr>
            <w:tcW w:w="931"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跨境平台店铺以及运营报告</w:t>
            </w:r>
          </w:p>
        </w:tc>
        <w:tc>
          <w:tcPr>
            <w:tcW w:w="990"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跨境</w:t>
            </w:r>
            <w:r>
              <w:rPr>
                <w:rFonts w:hint="eastAsia" w:ascii="仿宋_GB2312" w:hAnsi="仿宋_GB2312" w:eastAsia="仿宋_GB2312" w:cs="仿宋_GB2312"/>
                <w:szCs w:val="21"/>
                <w:shd w:val="clear" w:color="auto" w:fill="FFFFFF"/>
                <w:lang w:val="en-US" w:eastAsia="zh-CN"/>
              </w:rPr>
              <w:t>电商</w:t>
            </w:r>
            <w:r>
              <w:rPr>
                <w:rFonts w:hint="eastAsia" w:ascii="仿宋_GB2312" w:hAnsi="仿宋_GB2312" w:eastAsia="仿宋_GB2312" w:cs="仿宋_GB2312"/>
                <w:szCs w:val="21"/>
                <w:shd w:val="clear" w:color="auto" w:fill="FFFFFF"/>
              </w:rPr>
              <w:t>基础、</w:t>
            </w:r>
            <w:r>
              <w:rPr>
                <w:rFonts w:ascii="仿宋_GB2312" w:hAnsi="仿宋_GB2312" w:eastAsia="仿宋_GB2312" w:cs="仿宋_GB2312"/>
                <w:szCs w:val="21"/>
                <w:shd w:val="clear" w:color="auto" w:fill="FFFFFF"/>
              </w:rPr>
              <w:t>跨境电商平台运营与管理</w:t>
            </w:r>
            <w:r>
              <w:rPr>
                <w:rFonts w:hint="eastAsia" w:ascii="仿宋_GB2312" w:hAnsi="仿宋_GB2312" w:eastAsia="仿宋_GB2312" w:cs="仿宋_GB2312"/>
                <w:szCs w:val="21"/>
                <w:shd w:val="clear" w:color="auto" w:fill="FFFFFF"/>
              </w:rPr>
              <w:t>、跨境电商法律法规</w:t>
            </w:r>
          </w:p>
        </w:tc>
        <w:tc>
          <w:tcPr>
            <w:tcW w:w="879"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龙工厂跨境电商产业园、广西异元科技有限公司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763" w:type="dxa"/>
            <w:vAlign w:val="center"/>
          </w:tcPr>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3</w:t>
            </w:r>
          </w:p>
        </w:tc>
        <w:tc>
          <w:tcPr>
            <w:tcW w:w="1220"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海外市场营销与推广实操</w:t>
            </w:r>
          </w:p>
        </w:tc>
        <w:tc>
          <w:tcPr>
            <w:tcW w:w="525" w:type="pct"/>
            <w:vAlign w:val="center"/>
          </w:tcPr>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5</w:t>
            </w:r>
          </w:p>
        </w:tc>
        <w:tc>
          <w:tcPr>
            <w:tcW w:w="931"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海外市场推广方案</w:t>
            </w:r>
          </w:p>
        </w:tc>
        <w:tc>
          <w:tcPr>
            <w:tcW w:w="990"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跨境电商数字营销；汽车产品海外新媒体推广</w:t>
            </w:r>
          </w:p>
        </w:tc>
        <w:tc>
          <w:tcPr>
            <w:tcW w:w="879"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上汽通用五菱股份有限公司、东风柳州汽车有限公司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763" w:type="dxa"/>
            <w:vAlign w:val="center"/>
          </w:tcPr>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4</w:t>
            </w:r>
          </w:p>
        </w:tc>
        <w:tc>
          <w:tcPr>
            <w:tcW w:w="1220"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跨境短视频创作实操</w:t>
            </w:r>
          </w:p>
        </w:tc>
        <w:tc>
          <w:tcPr>
            <w:tcW w:w="525" w:type="pct"/>
            <w:vAlign w:val="center"/>
          </w:tcPr>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5</w:t>
            </w:r>
          </w:p>
        </w:tc>
        <w:tc>
          <w:tcPr>
            <w:tcW w:w="931"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跨境短视频</w:t>
            </w:r>
          </w:p>
        </w:tc>
        <w:tc>
          <w:tcPr>
            <w:tcW w:w="990"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跨境短视频营销</w:t>
            </w:r>
          </w:p>
        </w:tc>
        <w:tc>
          <w:tcPr>
            <w:tcW w:w="879"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AI数字营销工坊、广西异元科技有限公司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763" w:type="dxa"/>
            <w:vAlign w:val="center"/>
          </w:tcPr>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5</w:t>
            </w:r>
          </w:p>
        </w:tc>
        <w:tc>
          <w:tcPr>
            <w:tcW w:w="1220"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跨境电商数据抓取及分析实操</w:t>
            </w:r>
          </w:p>
        </w:tc>
        <w:tc>
          <w:tcPr>
            <w:tcW w:w="525" w:type="pct"/>
            <w:vAlign w:val="center"/>
          </w:tcPr>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6</w:t>
            </w:r>
          </w:p>
        </w:tc>
        <w:tc>
          <w:tcPr>
            <w:tcW w:w="931"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数据分析报告</w:t>
            </w:r>
          </w:p>
        </w:tc>
        <w:tc>
          <w:tcPr>
            <w:tcW w:w="990"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跨境电商数据分析</w:t>
            </w:r>
          </w:p>
        </w:tc>
        <w:tc>
          <w:tcPr>
            <w:tcW w:w="879"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上汽通用五菱股份有限公司、东风柳州汽车有限公司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763" w:type="dxa"/>
            <w:vAlign w:val="center"/>
          </w:tcPr>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6</w:t>
            </w:r>
          </w:p>
        </w:tc>
        <w:tc>
          <w:tcPr>
            <w:tcW w:w="1220"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跨境直播营销实操</w:t>
            </w:r>
          </w:p>
        </w:tc>
        <w:tc>
          <w:tcPr>
            <w:tcW w:w="525" w:type="pct"/>
            <w:vAlign w:val="center"/>
          </w:tcPr>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6</w:t>
            </w:r>
          </w:p>
        </w:tc>
        <w:tc>
          <w:tcPr>
            <w:tcW w:w="931"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跨境直播销售方案</w:t>
            </w:r>
          </w:p>
        </w:tc>
        <w:tc>
          <w:tcPr>
            <w:tcW w:w="990"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跨境直播营销</w:t>
            </w:r>
          </w:p>
        </w:tc>
        <w:tc>
          <w:tcPr>
            <w:tcW w:w="879"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上汽通用五菱股份有限公司、东风柳州汽车有限公司、广西异元科技有限公司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763" w:type="dxa"/>
            <w:vAlign w:val="center"/>
          </w:tcPr>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7</w:t>
            </w:r>
          </w:p>
        </w:tc>
        <w:tc>
          <w:tcPr>
            <w:tcW w:w="1220"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独立站运营实操</w:t>
            </w:r>
          </w:p>
        </w:tc>
        <w:tc>
          <w:tcPr>
            <w:tcW w:w="525" w:type="pct"/>
            <w:vAlign w:val="center"/>
          </w:tcPr>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6</w:t>
            </w:r>
          </w:p>
        </w:tc>
        <w:tc>
          <w:tcPr>
            <w:tcW w:w="931"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独立站运营方案</w:t>
            </w:r>
          </w:p>
        </w:tc>
        <w:tc>
          <w:tcPr>
            <w:tcW w:w="990"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跨境电商独立站运营</w:t>
            </w:r>
          </w:p>
        </w:tc>
        <w:tc>
          <w:tcPr>
            <w:tcW w:w="879"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龙工厂跨境电商产业园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763" w:type="dxa"/>
            <w:vAlign w:val="center"/>
          </w:tcPr>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8</w:t>
            </w:r>
          </w:p>
        </w:tc>
        <w:tc>
          <w:tcPr>
            <w:tcW w:w="1220"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综合实践</w:t>
            </w:r>
          </w:p>
        </w:tc>
        <w:tc>
          <w:tcPr>
            <w:tcW w:w="525" w:type="pct"/>
            <w:vAlign w:val="center"/>
          </w:tcPr>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7</w:t>
            </w:r>
          </w:p>
        </w:tc>
        <w:tc>
          <w:tcPr>
            <w:tcW w:w="931"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跨境电商综合项目实施方案</w:t>
            </w:r>
          </w:p>
        </w:tc>
        <w:tc>
          <w:tcPr>
            <w:tcW w:w="990"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跨境电商产品开发;跨境电商平台运营与管理;跨境电商数字营销；跨境短视频营销;跨境直播营销;跨境电商独立站运营</w:t>
            </w:r>
          </w:p>
        </w:tc>
        <w:tc>
          <w:tcPr>
            <w:tcW w:w="879"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上汽通用五菱股份有限公司、东风柳州汽车有限公司、龙工厂跨境电商产业园、广西异元科技有限公司</w:t>
            </w:r>
          </w:p>
        </w:tc>
      </w:tr>
    </w:tbl>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b.课程设计</w:t>
      </w:r>
    </w:p>
    <w:tbl>
      <w:tblPr>
        <w:tblStyle w:val="16"/>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2"/>
        <w:gridCol w:w="2179"/>
        <w:gridCol w:w="810"/>
        <w:gridCol w:w="1594"/>
        <w:gridCol w:w="1599"/>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451"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序号</w:t>
            </w:r>
          </w:p>
        </w:tc>
        <w:tc>
          <w:tcPr>
            <w:tcW w:w="1273"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课程设计名称</w:t>
            </w:r>
          </w:p>
        </w:tc>
        <w:tc>
          <w:tcPr>
            <w:tcW w:w="473"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学期</w:t>
            </w:r>
          </w:p>
        </w:tc>
        <w:tc>
          <w:tcPr>
            <w:tcW w:w="931"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产出/成果</w:t>
            </w:r>
          </w:p>
        </w:tc>
        <w:tc>
          <w:tcPr>
            <w:tcW w:w="934"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依托专业课程</w:t>
            </w:r>
          </w:p>
        </w:tc>
        <w:tc>
          <w:tcPr>
            <w:tcW w:w="936"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451" w:type="pct"/>
            <w:vAlign w:val="center"/>
          </w:tcPr>
          <w:p>
            <w:pPr>
              <w:adjustRightInd w:val="0"/>
              <w:snapToGrid w:val="0"/>
              <w:spacing w:line="596" w:lineRule="exact"/>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1</w:t>
            </w:r>
          </w:p>
        </w:tc>
        <w:tc>
          <w:tcPr>
            <w:tcW w:w="1273"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课程设计1：Amazon店铺运营</w:t>
            </w:r>
          </w:p>
        </w:tc>
        <w:tc>
          <w:tcPr>
            <w:tcW w:w="473" w:type="pct"/>
            <w:vAlign w:val="center"/>
          </w:tcPr>
          <w:p>
            <w:pPr>
              <w:adjustRightInd w:val="0"/>
              <w:snapToGrid w:val="0"/>
              <w:spacing w:line="596" w:lineRule="exact"/>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3</w:t>
            </w:r>
          </w:p>
        </w:tc>
        <w:tc>
          <w:tcPr>
            <w:tcW w:w="931" w:type="pct"/>
            <w:vAlign w:val="center"/>
          </w:tcPr>
          <w:p>
            <w:pPr>
              <w:widowControl/>
              <w:jc w:val="left"/>
              <w:textAlignment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Amazon店铺运营报告</w:t>
            </w:r>
          </w:p>
        </w:tc>
        <w:tc>
          <w:tcPr>
            <w:tcW w:w="934" w:type="pct"/>
            <w:vAlign w:val="center"/>
          </w:tcPr>
          <w:p>
            <w:pPr>
              <w:widowControl/>
              <w:jc w:val="left"/>
              <w:textAlignment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跨境平台店铺运营与管理；跨境电商产品开发</w:t>
            </w:r>
          </w:p>
        </w:tc>
        <w:tc>
          <w:tcPr>
            <w:tcW w:w="936" w:type="pct"/>
            <w:vAlign w:val="center"/>
          </w:tcPr>
          <w:p>
            <w:pPr>
              <w:widowControl/>
              <w:jc w:val="left"/>
              <w:textAlignment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龙工厂跨境电商产业园、广西异元科技有限公司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451" w:type="pct"/>
            <w:vAlign w:val="center"/>
          </w:tcPr>
          <w:p>
            <w:pPr>
              <w:adjustRightInd w:val="0"/>
              <w:snapToGrid w:val="0"/>
              <w:spacing w:line="596" w:lineRule="exact"/>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2</w:t>
            </w:r>
          </w:p>
        </w:tc>
        <w:tc>
          <w:tcPr>
            <w:tcW w:w="1273"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课程设计2：客户沟通与服务</w:t>
            </w:r>
          </w:p>
        </w:tc>
        <w:tc>
          <w:tcPr>
            <w:tcW w:w="473" w:type="pct"/>
            <w:vAlign w:val="center"/>
          </w:tcPr>
          <w:p>
            <w:pPr>
              <w:adjustRightInd w:val="0"/>
              <w:snapToGrid w:val="0"/>
              <w:spacing w:line="596" w:lineRule="exact"/>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4</w:t>
            </w:r>
          </w:p>
        </w:tc>
        <w:tc>
          <w:tcPr>
            <w:tcW w:w="931" w:type="pct"/>
            <w:vAlign w:val="center"/>
          </w:tcPr>
          <w:p>
            <w:pPr>
              <w:widowControl/>
              <w:jc w:val="left"/>
              <w:textAlignment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客户服务方案</w:t>
            </w:r>
          </w:p>
        </w:tc>
        <w:tc>
          <w:tcPr>
            <w:tcW w:w="934" w:type="pct"/>
            <w:vAlign w:val="center"/>
          </w:tcPr>
          <w:p>
            <w:pPr>
              <w:widowControl/>
              <w:jc w:val="left"/>
              <w:textAlignment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消费心理学；跨境电商客户管理</w:t>
            </w:r>
          </w:p>
        </w:tc>
        <w:tc>
          <w:tcPr>
            <w:tcW w:w="936" w:type="pct"/>
            <w:vAlign w:val="center"/>
          </w:tcPr>
          <w:p>
            <w:pPr>
              <w:widowControl/>
              <w:jc w:val="left"/>
              <w:textAlignment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美的集团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451" w:type="pct"/>
            <w:vAlign w:val="center"/>
          </w:tcPr>
          <w:p>
            <w:pPr>
              <w:adjustRightInd w:val="0"/>
              <w:snapToGrid w:val="0"/>
              <w:spacing w:line="596" w:lineRule="exact"/>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3</w:t>
            </w:r>
          </w:p>
        </w:tc>
        <w:tc>
          <w:tcPr>
            <w:tcW w:w="1273"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课程设计3：AIGC多语种内容生成</w:t>
            </w:r>
          </w:p>
        </w:tc>
        <w:tc>
          <w:tcPr>
            <w:tcW w:w="473" w:type="pct"/>
            <w:vAlign w:val="center"/>
          </w:tcPr>
          <w:p>
            <w:pPr>
              <w:adjustRightInd w:val="0"/>
              <w:snapToGrid w:val="0"/>
              <w:spacing w:line="596" w:lineRule="exact"/>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5</w:t>
            </w:r>
          </w:p>
        </w:tc>
        <w:tc>
          <w:tcPr>
            <w:tcW w:w="931" w:type="pct"/>
            <w:vAlign w:val="center"/>
          </w:tcPr>
          <w:p>
            <w:pPr>
              <w:widowControl/>
              <w:jc w:val="left"/>
              <w:textAlignment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多语种商业短视频</w:t>
            </w:r>
          </w:p>
        </w:tc>
        <w:tc>
          <w:tcPr>
            <w:tcW w:w="934" w:type="pct"/>
            <w:vAlign w:val="center"/>
          </w:tcPr>
          <w:p>
            <w:pPr>
              <w:widowControl/>
              <w:jc w:val="left"/>
              <w:textAlignment w:val="center"/>
              <w:rPr>
                <w:rFonts w:hint="eastAsia" w:ascii="仿宋_GB2312" w:hAnsi="仿宋_GB2312" w:eastAsia="仿宋_GB2312" w:cs="仿宋_GB2312"/>
                <w:szCs w:val="21"/>
                <w:shd w:val="clear" w:color="auto" w:fill="FFFFFF"/>
              </w:rPr>
            </w:pPr>
            <w:r>
              <w:rPr>
                <w:rFonts w:ascii="仿宋_GB2312" w:hAnsi="仿宋_GB2312" w:eastAsia="仿宋_GB2312" w:cs="仿宋_GB2312"/>
                <w:szCs w:val="21"/>
                <w:shd w:val="clear" w:color="auto" w:fill="FFFFFF"/>
              </w:rPr>
              <w:t>跨境短视频营销</w:t>
            </w:r>
          </w:p>
        </w:tc>
        <w:tc>
          <w:tcPr>
            <w:tcW w:w="936" w:type="pct"/>
            <w:vAlign w:val="center"/>
          </w:tcPr>
          <w:p>
            <w:pPr>
              <w:widowControl/>
              <w:jc w:val="left"/>
              <w:textAlignment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AI数字营销工坊、广西异元科技有限公司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451" w:type="pct"/>
            <w:vAlign w:val="center"/>
          </w:tcPr>
          <w:p>
            <w:pPr>
              <w:adjustRightInd w:val="0"/>
              <w:snapToGrid w:val="0"/>
              <w:spacing w:line="596" w:lineRule="exact"/>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4</w:t>
            </w:r>
          </w:p>
        </w:tc>
        <w:tc>
          <w:tcPr>
            <w:tcW w:w="1273" w:type="pct"/>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课程设计4：跨境整合营销与推广</w:t>
            </w:r>
          </w:p>
        </w:tc>
        <w:tc>
          <w:tcPr>
            <w:tcW w:w="473" w:type="pct"/>
            <w:vAlign w:val="center"/>
          </w:tcPr>
          <w:p>
            <w:pPr>
              <w:adjustRightInd w:val="0"/>
              <w:snapToGrid w:val="0"/>
              <w:spacing w:line="596" w:lineRule="exact"/>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6</w:t>
            </w:r>
          </w:p>
        </w:tc>
        <w:tc>
          <w:tcPr>
            <w:tcW w:w="931" w:type="pct"/>
            <w:vAlign w:val="center"/>
          </w:tcPr>
          <w:p>
            <w:pPr>
              <w:widowControl/>
              <w:jc w:val="left"/>
              <w:textAlignment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某产品/品牌的海外市场整合营销策划方案</w:t>
            </w:r>
          </w:p>
        </w:tc>
        <w:tc>
          <w:tcPr>
            <w:tcW w:w="934" w:type="pct"/>
            <w:vAlign w:val="center"/>
          </w:tcPr>
          <w:p>
            <w:pPr>
              <w:widowControl/>
              <w:jc w:val="left"/>
              <w:textAlignment w:val="center"/>
              <w:rPr>
                <w:rFonts w:hint="eastAsia" w:ascii="仿宋_GB2312" w:hAnsi="仿宋_GB2312" w:eastAsia="仿宋_GB2312" w:cs="仿宋_GB2312"/>
                <w:szCs w:val="21"/>
                <w:shd w:val="clear" w:color="auto" w:fill="FFFFFF"/>
              </w:rPr>
            </w:pPr>
            <w:r>
              <w:rPr>
                <w:rFonts w:ascii="仿宋_GB2312" w:hAnsi="仿宋_GB2312" w:eastAsia="仿宋_GB2312" w:cs="仿宋_GB2312"/>
                <w:szCs w:val="21"/>
                <w:shd w:val="clear" w:color="auto" w:fill="FFFFFF"/>
              </w:rPr>
              <w:t>跨境电商数字营销</w:t>
            </w:r>
            <w:r>
              <w:rPr>
                <w:rFonts w:hint="eastAsia" w:ascii="仿宋_GB2312" w:hAnsi="仿宋_GB2312" w:eastAsia="仿宋_GB2312" w:cs="仿宋_GB2312"/>
                <w:szCs w:val="21"/>
                <w:shd w:val="clear" w:color="auto" w:fill="FFFFFF"/>
              </w:rPr>
              <w:t>；跨境直播营销</w:t>
            </w:r>
          </w:p>
        </w:tc>
        <w:tc>
          <w:tcPr>
            <w:tcW w:w="936" w:type="pct"/>
            <w:vAlign w:val="center"/>
          </w:tcPr>
          <w:p>
            <w:pPr>
              <w:widowControl/>
              <w:jc w:val="left"/>
              <w:textAlignment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东风柳州汽车有限公司、广西异元科技有限公司</w:t>
            </w:r>
          </w:p>
        </w:tc>
      </w:tr>
    </w:tbl>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c.实习安排</w:t>
      </w:r>
    </w:p>
    <w:tbl>
      <w:tblPr>
        <w:tblStyle w:val="16"/>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3"/>
        <w:gridCol w:w="2067"/>
        <w:gridCol w:w="1963"/>
        <w:gridCol w:w="1020"/>
        <w:gridCol w:w="1260"/>
        <w:gridCol w:w="1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85" w:hRule="atLeast"/>
        </w:trPr>
        <w:tc>
          <w:tcPr>
            <w:tcW w:w="743"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时间</w:t>
            </w:r>
          </w:p>
        </w:tc>
        <w:tc>
          <w:tcPr>
            <w:tcW w:w="2067"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实习目标</w:t>
            </w:r>
          </w:p>
        </w:tc>
        <w:tc>
          <w:tcPr>
            <w:tcW w:w="1963"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实习项目</w:t>
            </w:r>
          </w:p>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（内容/任务）</w:t>
            </w:r>
          </w:p>
        </w:tc>
        <w:tc>
          <w:tcPr>
            <w:tcW w:w="1020"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实习</w:t>
            </w:r>
          </w:p>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形式</w:t>
            </w:r>
          </w:p>
        </w:tc>
        <w:tc>
          <w:tcPr>
            <w:tcW w:w="1260"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考核</w:t>
            </w:r>
          </w:p>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要求</w:t>
            </w:r>
          </w:p>
        </w:tc>
        <w:tc>
          <w:tcPr>
            <w:tcW w:w="1406"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743" w:type="dxa"/>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第7学期</w:t>
            </w:r>
          </w:p>
        </w:tc>
        <w:tc>
          <w:tcPr>
            <w:tcW w:w="2067" w:type="dxa"/>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培养学生汽车产品跨境数据采集、汽车产品海外新媒体推广、跨境电商独立站运营、跨境电商创业的能力</w:t>
            </w:r>
          </w:p>
        </w:tc>
        <w:tc>
          <w:tcPr>
            <w:tcW w:w="1963" w:type="dxa"/>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汽车产品海外市场营销数据调研、汽车产品海外市场营销策划与推广、跨境电商独立站店铺运营、跨境电商创业项目开发</w:t>
            </w:r>
          </w:p>
        </w:tc>
        <w:tc>
          <w:tcPr>
            <w:tcW w:w="1020" w:type="dxa"/>
            <w:vAlign w:val="center"/>
          </w:tcPr>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自主</w:t>
            </w:r>
          </w:p>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实习</w:t>
            </w:r>
          </w:p>
        </w:tc>
        <w:tc>
          <w:tcPr>
            <w:tcW w:w="1260" w:type="dxa"/>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实习总结</w:t>
            </w:r>
          </w:p>
        </w:tc>
        <w:tc>
          <w:tcPr>
            <w:tcW w:w="1406" w:type="dxa"/>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上汽通用五菱股份有限公司、龙工厂跨境电商产业园、东风柳州汽车有限公司、广西异元科技有限公司等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743" w:type="dxa"/>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第8学期</w:t>
            </w:r>
          </w:p>
        </w:tc>
        <w:tc>
          <w:tcPr>
            <w:tcW w:w="2067" w:type="dxa"/>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经历了基本素质教育、专业课程学习后，学生到企业参加岗位实习，通过实践教师的指导和学生自身的工作体验，感受企业文化，养成良好的职业素养，形成良好的职业行为规范、职业道德和就业意识，增强学生的职业能力和社会适应能力，提高学生的职业素养</w:t>
            </w:r>
          </w:p>
        </w:tc>
        <w:tc>
          <w:tcPr>
            <w:tcW w:w="1963" w:type="dxa"/>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学习跨境电商企业制度、跨境电商业务流程各环节知识与技能</w:t>
            </w:r>
          </w:p>
        </w:tc>
        <w:tc>
          <w:tcPr>
            <w:tcW w:w="1020" w:type="dxa"/>
            <w:vAlign w:val="center"/>
          </w:tcPr>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自主</w:t>
            </w:r>
          </w:p>
          <w:p>
            <w:pPr>
              <w:adjustRightInd w:val="0"/>
              <w:snapToGrid w:val="0"/>
              <w:jc w:val="center"/>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实习</w:t>
            </w:r>
          </w:p>
        </w:tc>
        <w:tc>
          <w:tcPr>
            <w:tcW w:w="1260" w:type="dxa"/>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实习总结+职业素质活动展示+企业鉴定</w:t>
            </w:r>
          </w:p>
        </w:tc>
        <w:tc>
          <w:tcPr>
            <w:tcW w:w="1406" w:type="dxa"/>
            <w:vAlign w:val="center"/>
          </w:tcPr>
          <w:p>
            <w:pPr>
              <w:adjustRightInd w:val="0"/>
              <w:snapToGrid w:val="0"/>
              <w:jc w:val="left"/>
              <w:rPr>
                <w:rFonts w:hint="eastAsia" w:ascii="仿宋_GB2312" w:hAnsi="仿宋_GB2312" w:eastAsia="仿宋_GB2312" w:cs="仿宋_GB2312"/>
                <w:szCs w:val="21"/>
                <w:shd w:val="clear" w:color="auto" w:fill="FFFFFF"/>
              </w:rPr>
            </w:pPr>
            <w:r>
              <w:rPr>
                <w:rFonts w:hint="eastAsia" w:ascii="仿宋_GB2312" w:hAnsi="仿宋_GB2312" w:eastAsia="仿宋_GB2312" w:cs="仿宋_GB2312"/>
                <w:szCs w:val="21"/>
                <w:shd w:val="clear" w:color="auto" w:fill="FFFFFF"/>
              </w:rPr>
              <w:t>上汽通用五菱股份有限公司、龙工厂跨境电商产业园、东风柳州汽车有限公司、广西异元科技有限公司等</w:t>
            </w:r>
          </w:p>
        </w:tc>
      </w:tr>
    </w:tbl>
    <w:p>
      <w:pPr>
        <w:pStyle w:val="7"/>
        <w:rPr>
          <w:rFonts w:hint="eastAsia" w:ascii="仿宋" w:hAnsi="仿宋" w:eastAsia="仿宋" w:cs="仿宋"/>
          <w:sz w:val="30"/>
          <w:szCs w:val="30"/>
        </w:rPr>
      </w:pPr>
      <w:r>
        <w:rPr>
          <w:rFonts w:hint="eastAsia" w:ascii="仿宋" w:hAnsi="仿宋" w:eastAsia="仿宋" w:cs="仿宋"/>
          <w:sz w:val="30"/>
          <w:szCs w:val="30"/>
        </w:rPr>
        <w:t>3.学生竞赛及第二课堂活动</w:t>
      </w:r>
    </w:p>
    <w:p>
      <w:pPr>
        <w:adjustRightInd w:val="0"/>
        <w:snapToGrid w:val="0"/>
        <w:spacing w:line="360" w:lineRule="auto"/>
        <w:ind w:firstLine="560" w:firstLineChars="200"/>
        <w:rPr>
          <w:rFonts w:hint="eastAsia" w:ascii="仿宋" w:hAnsi="仿宋" w:eastAsia="仿宋" w:cs="仿宋"/>
          <w:sz w:val="30"/>
          <w:szCs w:val="30"/>
        </w:rPr>
      </w:pPr>
      <w:r>
        <w:rPr>
          <w:rFonts w:hint="eastAsia" w:ascii="仿宋" w:hAnsi="仿宋" w:eastAsia="仿宋" w:cs="仿宋"/>
          <w:sz w:val="28"/>
          <w:szCs w:val="28"/>
        </w:rPr>
        <w:t>每个专业根据学科专业的特点，在不同的年级设计安排不同的学生竞赛及第二课堂活动。具体安排见第二课堂活动安排表。</w:t>
      </w:r>
    </w:p>
    <w:p>
      <w:pPr>
        <w:pStyle w:val="2"/>
        <w:spacing w:before="40" w:after="40" w:line="360" w:lineRule="auto"/>
        <w:ind w:firstLine="602" w:firstLineChars="200"/>
        <w:rPr>
          <w:rFonts w:hint="eastAsia" w:ascii="黑体" w:hAnsi="黑体" w:eastAsia="黑体" w:cs="黑体"/>
          <w:sz w:val="30"/>
          <w:szCs w:val="30"/>
        </w:rPr>
      </w:pPr>
      <w:bookmarkStart w:id="11" w:name="_Toc27181"/>
      <w:r>
        <w:rPr>
          <w:rFonts w:hint="eastAsia" w:ascii="黑体" w:hAnsi="黑体" w:eastAsia="黑体" w:cs="黑体"/>
          <w:sz w:val="30"/>
          <w:szCs w:val="30"/>
        </w:rPr>
        <w:t>七、教学进度总体安排</w:t>
      </w:r>
      <w:bookmarkEnd w:id="11"/>
    </w:p>
    <w:p>
      <w:pPr>
        <w:sectPr>
          <w:pgSz w:w="11906" w:h="16838"/>
          <w:pgMar w:top="1440" w:right="1803" w:bottom="1440" w:left="1803" w:header="851" w:footer="992" w:gutter="0"/>
          <w:pgNumType w:fmt="decimal"/>
          <w:cols w:space="0" w:num="1"/>
          <w:docGrid w:type="lines" w:linePitch="319" w:charSpace="0"/>
        </w:sectPr>
      </w:pPr>
    </w:p>
    <w:p>
      <w:pPr>
        <w:pStyle w:val="3"/>
        <w:ind w:firstLine="562" w:firstLineChars="200"/>
        <w:rPr>
          <w:rFonts w:hint="eastAsia" w:ascii="仿宋_GB2312" w:hAnsi="仿宋_GB2312" w:eastAsia="仿宋_GB2312" w:cs="仿宋_GB2312"/>
          <w:sz w:val="28"/>
          <w:szCs w:val="36"/>
        </w:rPr>
      </w:pPr>
      <w:bookmarkStart w:id="12" w:name="_Toc17573"/>
      <w:r>
        <w:rPr>
          <w:rFonts w:hint="eastAsia" w:ascii="仿宋_GB2312" w:hAnsi="仿宋_GB2312" w:eastAsia="仿宋_GB2312" w:cs="仿宋_GB2312"/>
          <w:sz w:val="28"/>
          <w:szCs w:val="36"/>
        </w:rPr>
        <w:t>（一）教学活动时间分配</w:t>
      </w:r>
      <w:bookmarkEnd w:id="12"/>
    </w:p>
    <w:p/>
    <w:tbl>
      <w:tblPr>
        <w:tblStyle w:val="1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2708"/>
        <w:gridCol w:w="601"/>
        <w:gridCol w:w="606"/>
        <w:gridCol w:w="603"/>
        <w:gridCol w:w="604"/>
        <w:gridCol w:w="603"/>
        <w:gridCol w:w="604"/>
        <w:gridCol w:w="603"/>
        <w:gridCol w:w="604"/>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1609" w:type="pct"/>
            <w:vMerge w:val="restart"/>
            <w:vAlign w:val="center"/>
          </w:tcPr>
          <w:p>
            <w:pPr>
              <w:pStyle w:val="26"/>
              <w:jc w:val="right"/>
              <w:rPr>
                <w:rFonts w:hint="eastAsia" w:ascii="仿宋" w:hAnsi="仿宋" w:eastAsia="仿宋" w:cs="仿宋"/>
              </w:rPr>
            </w:pPr>
            <w:r>
              <mc:AlternateContent>
                <mc:Choice Requires="wps">
                  <w:drawing>
                    <wp:anchor distT="0" distB="0" distL="114300" distR="114300" simplePos="0" relativeHeight="251663360" behindDoc="0" locked="0" layoutInCell="1" allowOverlap="1">
                      <wp:simplePos x="0" y="0"/>
                      <wp:positionH relativeFrom="column">
                        <wp:posOffset>-40640</wp:posOffset>
                      </wp:positionH>
                      <wp:positionV relativeFrom="paragraph">
                        <wp:posOffset>-3810</wp:posOffset>
                      </wp:positionV>
                      <wp:extent cx="1727835" cy="613410"/>
                      <wp:effectExtent l="1905" t="4445" r="10160" b="4445"/>
                      <wp:wrapNone/>
                      <wp:docPr id="3" name="直接连接符 3"/>
                      <wp:cNvGraphicFramePr/>
                      <a:graphic xmlns:a="http://schemas.openxmlformats.org/drawingml/2006/main">
                        <a:graphicData uri="http://schemas.microsoft.com/office/word/2010/wordprocessingShape">
                          <wps:wsp>
                            <wps:cNvCnPr/>
                            <wps:spPr>
                              <a:xfrm>
                                <a:off x="0" y="0"/>
                                <a:ext cx="1727835" cy="613410"/>
                              </a:xfrm>
                              <a:prstGeom prst="line">
                                <a:avLst/>
                              </a:prstGeom>
                              <a:ln w="3175"/>
                            </wps:spPr>
                            <wps:style>
                              <a:lnRef idx="2">
                                <a:prstClr val="black"/>
                              </a:lnRef>
                              <a:fillRef idx="0">
                                <a:prstClr val="black"/>
                              </a:fillRef>
                              <a:effectRef idx="1">
                                <a:prstClr val="black"/>
                              </a:effectRef>
                              <a:fontRef idx="minor">
                                <a:schemeClr val="tx1"/>
                              </a:fontRef>
                            </wps:style>
                            <wps:bodyPr/>
                          </wps:wsp>
                        </a:graphicData>
                      </a:graphic>
                    </wp:anchor>
                  </w:drawing>
                </mc:Choice>
                <mc:Fallback>
                  <w:pict>
                    <v:line id="_x0000_s1026" o:spid="_x0000_s1026" o:spt="20" style="position:absolute;left:0pt;margin-left:-3.2pt;margin-top:-0.3pt;height:48.3pt;width:136.05pt;z-index:251663360;mso-width-relative:page;mso-height-relative:page;" filled="f" stroked="t" coordsize="21600,21600" o:gfxdata="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MHsTVnTAAAA&#10;BwEAAA8AAAAAAAAAAQAgAAAAIgAAAGRycy9kb3ducmV2LnhtbFBLAQIUABQAAAAIAIdO4kDiSdeR&#10;6QEAALUDAAAOAAAAAAAAAAEAIAAAACIBAABkcnMvZTJvRG9jLnhtbFBLBQYAAAAABgAGAFkBAAB9&#10;BQAAAAA=&#10;">
                      <v:fill on="f" focussize="0,0"/>
                      <v:stroke weight="0.25pt" color="#000000" miterlimit="8" joinstyle="miter"/>
                      <v:imagedata o:title=""/>
                      <o:lock v:ext="edit" aspectratio="f"/>
                    </v:line>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-34925</wp:posOffset>
                      </wp:positionH>
                      <wp:positionV relativeFrom="paragraph">
                        <wp:posOffset>-2540</wp:posOffset>
                      </wp:positionV>
                      <wp:extent cx="1727835" cy="327025"/>
                      <wp:effectExtent l="635" t="4445" r="11430" b="11430"/>
                      <wp:wrapNone/>
                      <wp:docPr id="6" name="直接连接符 6"/>
                      <wp:cNvGraphicFramePr/>
                      <a:graphic xmlns:a="http://schemas.openxmlformats.org/drawingml/2006/main">
                        <a:graphicData uri="http://schemas.microsoft.com/office/word/2010/wordprocessingShape">
                          <wps:wsp>
                            <wps:cNvCnPr/>
                            <wps:spPr>
                              <a:xfrm>
                                <a:off x="1101090" y="2111375"/>
                                <a:ext cx="1727835" cy="327025"/>
                              </a:xfrm>
                              <a:prstGeom prst="line">
                                <a:avLst/>
                              </a:prstGeom>
                              <a:ln w="3175"/>
                            </wps:spPr>
                            <wps:style>
                              <a:lnRef idx="2">
                                <a:prstClr val="black"/>
                              </a:lnRef>
                              <a:fillRef idx="0">
                                <a:prstClr val="black"/>
                              </a:fillRef>
                              <a:effectRef idx="1">
                                <a:prstClr val="black"/>
                              </a:effectRef>
                              <a:fontRef idx="minor">
                                <a:schemeClr val="tx1"/>
                              </a:fontRef>
                            </wps:style>
                            <wps:bodyPr/>
                          </wps:wsp>
                        </a:graphicData>
                      </a:graphic>
                    </wp:anchor>
                  </w:drawing>
                </mc:Choice>
                <mc:Fallback>
                  <w:pict>
                    <v:line id="_x0000_s1026" o:spid="_x0000_s1026" o:spt="20" style="position:absolute;left:0pt;margin-left:-2.75pt;margin-top:-0.2pt;height:25.75pt;width:136.05pt;z-index:251662336;mso-width-relative:page;mso-height-relative:page;" filled="f" stroked="t" coordsize="21600,21600" o:gfxdata="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JfKSfzUAAAABwEAAA8AAAAAAAAAAQAgAAAAIgAAAGRycy9kb3ducmV2LnhtbFBLAQIUABQA&#10;AAAIAIdO4kDo8ops9AEAAMEDAAAOAAAAAAAAAAEAIAAAACMBAABkcnMvZTJvRG9jLnhtbFBLBQYA&#10;AAAABgAGAFkBAACJBQAAAAA=&#10;">
                      <v:fill on="f" focussize="0,0"/>
                      <v:stroke weight="0.25pt" color="#000000" miterlimit="8" joinstyle="miter"/>
                      <v:imagedata o:title=""/>
                      <o:lock v:ext="edit" aspectratio="f"/>
                    </v:line>
                  </w:pict>
                </mc:Fallback>
              </mc:AlternateContent>
            </w:r>
            <w:r>
              <w:rPr>
                <w:rFonts w:hint="eastAsia" w:ascii="仿宋" w:hAnsi="仿宋" w:eastAsia="仿宋" w:cs="仿宋"/>
              </w:rPr>
              <w:t>学年</w:t>
            </w:r>
          </w:p>
          <w:p>
            <w:pPr>
              <w:pStyle w:val="26"/>
              <w:jc w:val="center"/>
              <w:rPr>
                <w:rFonts w:hint="eastAsia" w:ascii="仿宋" w:hAnsi="仿宋" w:eastAsia="仿宋" w:cs="仿宋"/>
              </w:rPr>
            </w:pPr>
            <w:r>
              <w:rPr>
                <w:rFonts w:hint="eastAsia" w:ascii="仿宋" w:hAnsi="仿宋" w:eastAsia="仿宋" w:cs="仿宋"/>
              </w:rPr>
              <w:t xml:space="preserve">     周</w:t>
            </w:r>
          </w:p>
          <w:p>
            <w:pPr>
              <w:pStyle w:val="26"/>
              <w:rPr>
                <w:rFonts w:hint="eastAsia" w:ascii="仿宋" w:hAnsi="仿宋" w:eastAsia="仿宋" w:cs="仿宋"/>
              </w:rPr>
            </w:pPr>
            <w:r>
              <w:rPr>
                <w:rFonts w:hint="eastAsia" w:ascii="仿宋" w:hAnsi="仿宋" w:eastAsia="仿宋" w:cs="仿宋"/>
              </w:rPr>
              <w:t>项目</w:t>
            </w:r>
          </w:p>
        </w:tc>
        <w:tc>
          <w:tcPr>
            <w:tcW w:w="717" w:type="pct"/>
            <w:gridSpan w:val="2"/>
            <w:vAlign w:val="center"/>
          </w:tcPr>
          <w:p>
            <w:pPr>
              <w:pStyle w:val="26"/>
              <w:jc w:val="center"/>
              <w:rPr>
                <w:rFonts w:hint="eastAsia" w:ascii="仿宋" w:hAnsi="仿宋" w:eastAsia="仿宋" w:cs="仿宋"/>
              </w:rPr>
            </w:pPr>
            <w:r>
              <w:rPr>
                <w:rFonts w:hint="eastAsia" w:ascii="仿宋" w:hAnsi="仿宋" w:eastAsia="仿宋" w:cs="仿宋"/>
              </w:rPr>
              <w:t>一</w:t>
            </w:r>
          </w:p>
        </w:tc>
        <w:tc>
          <w:tcPr>
            <w:tcW w:w="717" w:type="pct"/>
            <w:gridSpan w:val="2"/>
            <w:vAlign w:val="center"/>
          </w:tcPr>
          <w:p>
            <w:pPr>
              <w:pStyle w:val="26"/>
              <w:jc w:val="center"/>
              <w:rPr>
                <w:rFonts w:hint="eastAsia" w:ascii="仿宋" w:hAnsi="仿宋" w:eastAsia="仿宋" w:cs="仿宋"/>
              </w:rPr>
            </w:pPr>
            <w:r>
              <w:rPr>
                <w:rFonts w:hint="eastAsia" w:ascii="仿宋" w:hAnsi="仿宋" w:eastAsia="仿宋" w:cs="仿宋"/>
              </w:rPr>
              <w:t>二</w:t>
            </w:r>
          </w:p>
        </w:tc>
        <w:tc>
          <w:tcPr>
            <w:tcW w:w="717" w:type="pct"/>
            <w:gridSpan w:val="2"/>
            <w:vAlign w:val="center"/>
          </w:tcPr>
          <w:p>
            <w:pPr>
              <w:pStyle w:val="26"/>
              <w:jc w:val="center"/>
              <w:rPr>
                <w:rFonts w:hint="eastAsia" w:ascii="仿宋" w:hAnsi="仿宋" w:eastAsia="仿宋" w:cs="仿宋"/>
              </w:rPr>
            </w:pPr>
            <w:r>
              <w:rPr>
                <w:rFonts w:hint="eastAsia" w:ascii="仿宋" w:hAnsi="仿宋" w:eastAsia="仿宋" w:cs="仿宋"/>
              </w:rPr>
              <w:t>三</w:t>
            </w:r>
          </w:p>
        </w:tc>
        <w:tc>
          <w:tcPr>
            <w:tcW w:w="717" w:type="pct"/>
            <w:gridSpan w:val="2"/>
            <w:vAlign w:val="center"/>
          </w:tcPr>
          <w:p>
            <w:pPr>
              <w:pStyle w:val="26"/>
              <w:jc w:val="center"/>
              <w:rPr>
                <w:rFonts w:hint="eastAsia" w:ascii="仿宋" w:hAnsi="仿宋" w:eastAsia="仿宋" w:cs="仿宋"/>
              </w:rPr>
            </w:pPr>
            <w:r>
              <w:rPr>
                <w:rFonts w:hint="eastAsia" w:ascii="仿宋" w:hAnsi="仿宋" w:eastAsia="仿宋" w:cs="仿宋"/>
              </w:rPr>
              <w:t>四</w:t>
            </w:r>
          </w:p>
        </w:tc>
        <w:tc>
          <w:tcPr>
            <w:tcW w:w="520" w:type="pct"/>
            <w:vMerge w:val="restart"/>
            <w:vAlign w:val="center"/>
          </w:tcPr>
          <w:p>
            <w:pPr>
              <w:pStyle w:val="26"/>
              <w:jc w:val="center"/>
              <w:rPr>
                <w:rFonts w:hint="eastAsia" w:ascii="仿宋" w:hAnsi="仿宋" w:eastAsia="仿宋" w:cs="仿宋"/>
              </w:rPr>
            </w:pPr>
            <w:r>
              <w:rPr>
                <w:rFonts w:hint="eastAsia" w:ascii="仿宋" w:hAnsi="仿宋" w:eastAsia="仿宋" w:cs="仿宋"/>
              </w:rPr>
              <w:t>总计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1609" w:type="pct"/>
            <w:vMerge w:val="continue"/>
            <w:vAlign w:val="center"/>
          </w:tcPr>
          <w:p>
            <w:pPr>
              <w:pStyle w:val="26"/>
              <w:rPr>
                <w:rFonts w:hint="eastAsia" w:ascii="仿宋" w:hAnsi="仿宋" w:eastAsia="仿宋" w:cs="仿宋"/>
              </w:rPr>
            </w:pP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2</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3</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4</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5</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7</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8</w:t>
            </w:r>
          </w:p>
        </w:tc>
        <w:tc>
          <w:tcPr>
            <w:tcW w:w="520" w:type="pct"/>
            <w:vMerge w:val="continue"/>
            <w:vAlign w:val="center"/>
          </w:tcPr>
          <w:p>
            <w:pPr>
              <w:pStyle w:val="26"/>
              <w:jc w:val="center"/>
              <w:rPr>
                <w:rFonts w:hint="eastAsia"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1609" w:type="pct"/>
            <w:vAlign w:val="center"/>
          </w:tcPr>
          <w:p>
            <w:pPr>
              <w:pStyle w:val="26"/>
              <w:rPr>
                <w:rFonts w:hint="eastAsia" w:ascii="仿宋" w:hAnsi="仿宋" w:eastAsia="仿宋" w:cs="仿宋"/>
              </w:rPr>
            </w:pPr>
            <w:r>
              <w:rPr>
                <w:rFonts w:hint="eastAsia" w:ascii="仿宋" w:hAnsi="仿宋" w:eastAsia="仿宋" w:cs="仿宋"/>
              </w:rPr>
              <w:t>1.学期教育总周数小计</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20</w:t>
            </w:r>
          </w:p>
        </w:tc>
        <w:tc>
          <w:tcPr>
            <w:tcW w:w="359" w:type="pct"/>
            <w:vAlign w:val="center"/>
          </w:tcPr>
          <w:p>
            <w:pPr>
              <w:pStyle w:val="26"/>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8" w:type="pct"/>
            <w:vAlign w:val="center"/>
          </w:tcPr>
          <w:p>
            <w:pPr>
              <w:pStyle w:val="26"/>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9" w:type="pct"/>
            <w:vAlign w:val="center"/>
          </w:tcPr>
          <w:p>
            <w:pPr>
              <w:pStyle w:val="26"/>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8" w:type="pct"/>
            <w:vAlign w:val="center"/>
          </w:tcPr>
          <w:p>
            <w:pPr>
              <w:pStyle w:val="26"/>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9" w:type="pct"/>
            <w:vAlign w:val="center"/>
          </w:tcPr>
          <w:p>
            <w:pPr>
              <w:pStyle w:val="26"/>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20</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0</w:t>
            </w:r>
          </w:p>
        </w:tc>
        <w:tc>
          <w:tcPr>
            <w:tcW w:w="520" w:type="pct"/>
            <w:vAlign w:val="center"/>
          </w:tcPr>
          <w:p>
            <w:pPr>
              <w:pStyle w:val="26"/>
              <w:jc w:val="center"/>
              <w:rPr>
                <w:rFonts w:hint="eastAsia" w:ascii="仿宋" w:hAnsi="仿宋" w:eastAsia="仿宋" w:cs="仿宋"/>
              </w:rPr>
            </w:pPr>
            <w:r>
              <w:rPr>
                <w:rFonts w:hint="eastAsia" w:ascii="仿宋" w:hAnsi="仿宋" w:eastAsia="仿宋" w:cs="仿宋"/>
              </w:rP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6"/>
              <w:rPr>
                <w:rFonts w:hint="eastAsia" w:ascii="仿宋" w:hAnsi="仿宋" w:eastAsia="仿宋" w:cs="仿宋"/>
              </w:rPr>
            </w:pPr>
            <w:r>
              <w:rPr>
                <w:rFonts w:hint="eastAsia" w:ascii="仿宋" w:hAnsi="仿宋" w:eastAsia="仿宋" w:cs="仿宋"/>
              </w:rPr>
              <w:t>其中：课堂教学</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17.5</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19</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18.5</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13</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18.5</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14</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6"/>
              <w:jc w:val="center"/>
              <w:rPr>
                <w:rFonts w:hint="eastAsia" w:ascii="仿宋" w:hAnsi="仿宋" w:eastAsia="仿宋" w:cs="仿宋"/>
              </w:rPr>
            </w:pPr>
            <w:r>
              <w:rPr>
                <w:rFonts w:hint="eastAsia" w:ascii="仿宋" w:hAnsi="仿宋" w:eastAsia="仿宋" w:cs="仿宋"/>
              </w:rPr>
              <w:t>100.5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6"/>
              <w:ind w:firstLine="630" w:firstLineChars="300"/>
              <w:rPr>
                <w:rFonts w:hint="eastAsia" w:ascii="仿宋" w:hAnsi="仿宋" w:eastAsia="仿宋" w:cs="仿宋"/>
              </w:rPr>
            </w:pPr>
            <w:r>
              <w:rPr>
                <w:rFonts w:hint="eastAsia" w:ascii="仿宋" w:hAnsi="仿宋" w:eastAsia="仿宋" w:cs="仿宋"/>
              </w:rPr>
              <w:t>集中实验、实训教学</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18.5</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6"/>
              <w:jc w:val="center"/>
              <w:rPr>
                <w:rFonts w:hint="eastAsia" w:ascii="仿宋" w:hAnsi="仿宋" w:eastAsia="仿宋" w:cs="仿宋"/>
              </w:rPr>
            </w:pPr>
            <w:r>
              <w:rPr>
                <w:rFonts w:hint="eastAsia" w:ascii="仿宋" w:hAnsi="仿宋" w:eastAsia="仿宋" w:cs="仿宋"/>
              </w:rPr>
              <w:t>27.5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1609" w:type="pct"/>
            <w:vAlign w:val="center"/>
          </w:tcPr>
          <w:p>
            <w:pPr>
              <w:pStyle w:val="26"/>
              <w:ind w:firstLine="630" w:firstLineChars="300"/>
              <w:rPr>
                <w:rFonts w:hint="eastAsia" w:ascii="仿宋" w:hAnsi="仿宋" w:eastAsia="仿宋" w:cs="仿宋"/>
                <w:b/>
              </w:rPr>
            </w:pPr>
            <w:r>
              <w:rPr>
                <w:rFonts w:hint="eastAsia" w:ascii="仿宋" w:hAnsi="仿宋" w:eastAsia="仿宋" w:cs="仿宋"/>
              </w:rPr>
              <w:t>军事技能训练</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2</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6"/>
              <w:jc w:val="center"/>
              <w:rPr>
                <w:rFonts w:hint="eastAsia" w:ascii="仿宋" w:hAnsi="仿宋" w:eastAsia="仿宋" w:cs="仿宋"/>
              </w:rPr>
            </w:pPr>
            <w:r>
              <w:rPr>
                <w:rFonts w:hint="eastAsia" w:ascii="仿宋" w:hAnsi="仿宋" w:eastAsia="仿宋" w:cs="仿宋"/>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1609" w:type="pct"/>
            <w:vAlign w:val="center"/>
          </w:tcPr>
          <w:p>
            <w:pPr>
              <w:pStyle w:val="26"/>
              <w:ind w:firstLine="630" w:firstLineChars="300"/>
              <w:rPr>
                <w:rFonts w:hint="eastAsia" w:ascii="仿宋" w:hAnsi="仿宋" w:eastAsia="仿宋" w:cs="仿宋"/>
              </w:rPr>
            </w:pPr>
            <w:r>
              <w:rPr>
                <w:rFonts w:hint="eastAsia" w:ascii="仿宋" w:hAnsi="仿宋" w:eastAsia="仿宋" w:cs="仿宋"/>
              </w:rPr>
              <w:t>毕业设计（论文）</w:t>
            </w:r>
          </w:p>
        </w:tc>
        <w:tc>
          <w:tcPr>
            <w:tcW w:w="357" w:type="pct"/>
            <w:vAlign w:val="center"/>
          </w:tcPr>
          <w:p>
            <w:pPr>
              <w:jc w:val="center"/>
              <w:rPr>
                <w:rFonts w:hint="eastAsia" w:ascii="仿宋" w:hAnsi="仿宋" w:eastAsia="仿宋" w:cs="仿宋"/>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358" w:type="pct"/>
            <w:vAlign w:val="center"/>
          </w:tcPr>
          <w:p>
            <w:pPr>
              <w:jc w:val="center"/>
              <w:rPr>
                <w:rFonts w:hint="eastAsia" w:ascii="仿宋" w:hAnsi="仿宋" w:eastAsia="仿宋" w:cs="仿宋"/>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358" w:type="pct"/>
            <w:vAlign w:val="center"/>
          </w:tcPr>
          <w:p>
            <w:pPr>
              <w:jc w:val="center"/>
              <w:rPr>
                <w:rFonts w:hint="eastAsia" w:ascii="仿宋" w:hAnsi="仿宋" w:eastAsia="仿宋" w:cs="仿宋"/>
              </w:rPr>
            </w:pPr>
            <w:r>
              <w:rPr>
                <w:rFonts w:hint="eastAsia" w:ascii="仿宋" w:hAnsi="仿宋" w:eastAsia="仿宋" w:cs="仿宋"/>
              </w:rPr>
              <w:t>——</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4</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6"/>
              <w:jc w:val="center"/>
              <w:rPr>
                <w:rFonts w:hint="eastAsia" w:ascii="仿宋" w:hAnsi="仿宋" w:eastAsia="仿宋" w:cs="仿宋"/>
              </w:rPr>
            </w:pPr>
            <w:r>
              <w:rPr>
                <w:rFonts w:hint="eastAsia" w:ascii="仿宋" w:hAnsi="仿宋" w:eastAsia="仿宋" w:cs="仿宋"/>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6"/>
              <w:ind w:firstLine="630" w:firstLineChars="300"/>
              <w:rPr>
                <w:rFonts w:hint="eastAsia" w:ascii="仿宋" w:hAnsi="仿宋" w:eastAsia="仿宋" w:cs="仿宋"/>
              </w:rPr>
            </w:pPr>
            <w:r>
              <w:rPr>
                <w:rFonts w:hint="eastAsia" w:ascii="仿宋" w:hAnsi="仿宋" w:eastAsia="仿宋" w:cs="仿宋"/>
              </w:rPr>
              <w:t>企业课程周</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1</w:t>
            </w:r>
          </w:p>
        </w:tc>
        <w:tc>
          <w:tcPr>
            <w:tcW w:w="358" w:type="pct"/>
            <w:vAlign w:val="center"/>
          </w:tcPr>
          <w:p>
            <w:pPr>
              <w:jc w:val="center"/>
              <w:rPr>
                <w:rFonts w:hint="eastAsia" w:ascii="仿宋" w:hAnsi="仿宋" w:eastAsia="仿宋" w:cs="仿宋"/>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1</w:t>
            </w:r>
          </w:p>
        </w:tc>
        <w:tc>
          <w:tcPr>
            <w:tcW w:w="358" w:type="pct"/>
            <w:vAlign w:val="center"/>
          </w:tcPr>
          <w:p>
            <w:pPr>
              <w:jc w:val="center"/>
              <w:rPr>
                <w:rFonts w:hint="eastAsia" w:ascii="仿宋" w:hAnsi="仿宋" w:eastAsia="仿宋" w:cs="仿宋"/>
              </w:rPr>
            </w:pPr>
            <w:r>
              <w:rPr>
                <w:rFonts w:hint="eastAsia" w:ascii="仿宋" w:hAnsi="仿宋" w:eastAsia="仿宋" w:cs="仿宋"/>
              </w:rPr>
              <w:t>1</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6"/>
              <w:jc w:val="center"/>
              <w:rPr>
                <w:rFonts w:hint="eastAsia" w:ascii="仿宋" w:hAnsi="仿宋" w:eastAsia="仿宋" w:cs="仿宋"/>
              </w:rPr>
            </w:pPr>
            <w:r>
              <w:rPr>
                <w:rFonts w:hint="eastAsia" w:ascii="仿宋" w:hAnsi="仿宋" w:eastAsia="仿宋" w:cs="仿宋"/>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6"/>
              <w:ind w:firstLine="630" w:firstLineChars="300"/>
              <w:rPr>
                <w:rFonts w:hint="eastAsia" w:ascii="仿宋" w:hAnsi="仿宋" w:eastAsia="仿宋" w:cs="仿宋"/>
              </w:rPr>
            </w:pPr>
            <w:r>
              <w:rPr>
                <w:rFonts w:hint="eastAsia" w:ascii="仿宋" w:hAnsi="仿宋" w:eastAsia="仿宋" w:cs="仿宋"/>
              </w:rPr>
              <w:t>校运会</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0.5</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0.5</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0.5</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0.5</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6"/>
              <w:jc w:val="center"/>
              <w:rPr>
                <w:rFonts w:hint="eastAsia" w:ascii="仿宋" w:hAnsi="仿宋" w:eastAsia="仿宋" w:cs="仿宋"/>
              </w:rPr>
            </w:pPr>
            <w:r>
              <w:rPr>
                <w:rFonts w:hint="eastAsia" w:ascii="仿宋" w:hAnsi="仿宋" w:eastAsia="仿宋" w:cs="仿宋"/>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6"/>
              <w:rPr>
                <w:rFonts w:hint="eastAsia" w:ascii="仿宋" w:hAnsi="仿宋" w:eastAsia="仿宋" w:cs="仿宋"/>
              </w:rPr>
            </w:pPr>
            <w:r>
              <w:rPr>
                <w:rFonts w:hint="eastAsia" w:ascii="仿宋" w:hAnsi="仿宋" w:eastAsia="仿宋" w:cs="仿宋"/>
              </w:rPr>
              <w:t>2.毕业实习</w:t>
            </w:r>
          </w:p>
        </w:tc>
        <w:tc>
          <w:tcPr>
            <w:tcW w:w="357" w:type="pct"/>
            <w:vAlign w:val="center"/>
          </w:tcPr>
          <w:p>
            <w:pPr>
              <w:jc w:val="center"/>
              <w:rPr>
                <w:rFonts w:hint="eastAsia" w:ascii="仿宋" w:hAnsi="仿宋" w:eastAsia="仿宋" w:cs="仿宋"/>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358" w:type="pct"/>
            <w:vAlign w:val="center"/>
          </w:tcPr>
          <w:p>
            <w:pPr>
              <w:jc w:val="center"/>
              <w:rPr>
                <w:rFonts w:hint="eastAsia" w:ascii="仿宋" w:hAnsi="仿宋" w:eastAsia="仿宋" w:cs="仿宋"/>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358" w:type="pct"/>
            <w:vAlign w:val="center"/>
          </w:tcPr>
          <w:p>
            <w:pPr>
              <w:jc w:val="center"/>
              <w:rPr>
                <w:rFonts w:hint="eastAsia" w:ascii="仿宋" w:hAnsi="仿宋" w:eastAsia="仿宋" w:cs="仿宋"/>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24</w:t>
            </w:r>
          </w:p>
        </w:tc>
        <w:tc>
          <w:tcPr>
            <w:tcW w:w="520" w:type="pct"/>
            <w:vAlign w:val="center"/>
          </w:tcPr>
          <w:p>
            <w:pPr>
              <w:pStyle w:val="26"/>
              <w:jc w:val="center"/>
              <w:rPr>
                <w:rFonts w:hint="eastAsia" w:ascii="仿宋" w:hAnsi="仿宋" w:cs="仿宋"/>
              </w:rPr>
            </w:pPr>
            <w:r>
              <w:rPr>
                <w:rFonts w:hint="eastAsia"/>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6"/>
              <w:rPr>
                <w:rFonts w:hint="eastAsia" w:ascii="仿宋" w:hAnsi="仿宋" w:eastAsia="仿宋" w:cs="仿宋"/>
              </w:rPr>
            </w:pPr>
            <w:r>
              <w:rPr>
                <w:rFonts w:hint="eastAsia" w:ascii="仿宋" w:hAnsi="仿宋" w:eastAsia="仿宋" w:cs="仿宋"/>
              </w:rPr>
              <w:t>3.寒暑假</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4</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4</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4</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4</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2</w:t>
            </w:r>
          </w:p>
        </w:tc>
        <w:tc>
          <w:tcPr>
            <w:tcW w:w="520" w:type="pct"/>
            <w:vAlign w:val="center"/>
          </w:tcPr>
          <w:p>
            <w:pPr>
              <w:pStyle w:val="26"/>
              <w:jc w:val="center"/>
              <w:rPr>
                <w:rFonts w:hint="eastAsia" w:ascii="仿宋" w:hAnsi="仿宋" w:eastAsia="仿宋" w:cs="仿宋"/>
              </w:rPr>
            </w:pPr>
            <w:r>
              <w:rPr>
                <w:rFonts w:hint="eastAsia" w:ascii="仿宋" w:hAnsi="仿宋" w:eastAsia="仿宋" w:cs="仿宋"/>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6"/>
              <w:rPr>
                <w:rFonts w:hint="eastAsia" w:ascii="仿宋" w:hAnsi="仿宋" w:eastAsia="仿宋" w:cs="仿宋"/>
              </w:rPr>
            </w:pPr>
            <w:r>
              <w:rPr>
                <w:rFonts w:hint="eastAsia" w:ascii="仿宋" w:hAnsi="仿宋" w:eastAsia="仿宋" w:cs="仿宋"/>
              </w:rPr>
              <w:t>4.机动</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520" w:type="pct"/>
            <w:vAlign w:val="center"/>
          </w:tcPr>
          <w:p>
            <w:pPr>
              <w:pStyle w:val="26"/>
              <w:jc w:val="center"/>
              <w:rPr>
                <w:rFonts w:hint="eastAsia" w:ascii="仿宋" w:hAnsi="仿宋" w:eastAsia="仿宋" w:cs="仿宋"/>
              </w:rPr>
            </w:pPr>
            <w:r>
              <w:rPr>
                <w:rFonts w:hint="eastAsia" w:ascii="仿宋" w:hAnsi="仿宋" w:eastAsia="仿宋" w:cs="仿宋"/>
              </w:rPr>
              <w:t>8</w:t>
            </w:r>
          </w:p>
        </w:tc>
      </w:tr>
    </w:tbl>
    <w:p>
      <w:pPr>
        <w:pStyle w:val="3"/>
        <w:ind w:firstLine="562" w:firstLineChars="200"/>
        <w:rPr>
          <w:rFonts w:hint="eastAsia" w:ascii="仿宋_GB2312" w:hAnsi="仿宋_GB2312" w:eastAsia="仿宋_GB2312" w:cs="仿宋_GB2312"/>
          <w:sz w:val="28"/>
          <w:szCs w:val="36"/>
        </w:rPr>
      </w:pPr>
      <w:bookmarkStart w:id="13" w:name="_Toc31832"/>
      <w:r>
        <w:rPr>
          <w:rFonts w:hint="eastAsia" w:ascii="仿宋_GB2312" w:hAnsi="仿宋_GB2312" w:eastAsia="仿宋_GB2312" w:cs="仿宋_GB2312"/>
          <w:sz w:val="28"/>
          <w:szCs w:val="36"/>
        </w:rPr>
        <w:t>（二）课程学分学时比例构成</w:t>
      </w:r>
      <w:bookmarkEnd w:id="13"/>
    </w:p>
    <w:p>
      <w:pPr>
        <w:pStyle w:val="7"/>
        <w:jc w:val="center"/>
      </w:pPr>
      <w:r>
        <w:rPr>
          <w:rFonts w:hint="eastAsia" w:ascii="仿宋" w:hAnsi="仿宋" w:eastAsia="仿宋" w:cs="仿宋"/>
          <w:b/>
          <w:bCs/>
          <w:sz w:val="24"/>
          <w:szCs w:val="24"/>
        </w:rPr>
        <w:t>表7-1：课程学时学分比例构成表</w:t>
      </w:r>
    </w:p>
    <w:tbl>
      <w:tblPr>
        <w:tblStyle w:val="15"/>
        <w:tblpPr w:leftFromText="180" w:rightFromText="180" w:vertAnchor="text" w:horzAnchor="page" w:tblpX="1802" w:tblpY="309"/>
        <w:tblOverlap w:val="never"/>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9"/>
        <w:gridCol w:w="516"/>
        <w:gridCol w:w="616"/>
        <w:gridCol w:w="994"/>
        <w:gridCol w:w="994"/>
        <w:gridCol w:w="305"/>
        <w:gridCol w:w="1045"/>
        <w:gridCol w:w="562"/>
        <w:gridCol w:w="562"/>
        <w:gridCol w:w="794"/>
        <w:gridCol w:w="7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780" w:type="pct"/>
            <w:vAlign w:val="center"/>
          </w:tcPr>
          <w:p>
            <w:pPr>
              <w:widowControl/>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纵向结构</w:t>
            </w:r>
          </w:p>
          <w:p>
            <w:pPr>
              <w:widowControl/>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（课程类别）</w:t>
            </w:r>
          </w:p>
        </w:tc>
        <w:tc>
          <w:tcPr>
            <w:tcW w:w="303" w:type="pct"/>
            <w:vAlign w:val="center"/>
          </w:tcPr>
          <w:p>
            <w:pPr>
              <w:widowControl/>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学分</w:t>
            </w:r>
          </w:p>
        </w:tc>
        <w:tc>
          <w:tcPr>
            <w:tcW w:w="361" w:type="pct"/>
            <w:vAlign w:val="center"/>
          </w:tcPr>
          <w:p>
            <w:pPr>
              <w:widowControl/>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学时</w:t>
            </w:r>
          </w:p>
        </w:tc>
        <w:tc>
          <w:tcPr>
            <w:tcW w:w="583" w:type="pct"/>
            <w:vAlign w:val="center"/>
          </w:tcPr>
          <w:p>
            <w:pPr>
              <w:widowControl/>
              <w:adjustRightInd w:val="0"/>
              <w:snapToGrid w:val="0"/>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学分比例</w:t>
            </w:r>
          </w:p>
          <w:p>
            <w:pPr>
              <w:widowControl/>
              <w:adjustRightInd w:val="0"/>
              <w:snapToGrid w:val="0"/>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w:t>
            </w:r>
          </w:p>
        </w:tc>
        <w:tc>
          <w:tcPr>
            <w:tcW w:w="583" w:type="pct"/>
            <w:vAlign w:val="center"/>
          </w:tcPr>
          <w:p>
            <w:pPr>
              <w:widowControl/>
              <w:adjustRightInd w:val="0"/>
              <w:snapToGrid w:val="0"/>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学时比例</w:t>
            </w:r>
          </w:p>
          <w:p>
            <w:pPr>
              <w:widowControl/>
              <w:adjustRightInd w:val="0"/>
              <w:snapToGrid w:val="0"/>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w:t>
            </w:r>
          </w:p>
        </w:tc>
        <w:tc>
          <w:tcPr>
            <w:tcW w:w="179" w:type="pct"/>
            <w:vMerge w:val="restart"/>
            <w:vAlign w:val="center"/>
          </w:tcPr>
          <w:p>
            <w:pPr>
              <w:widowControl/>
              <w:adjustRightInd w:val="0"/>
              <w:snapToGrid w:val="0"/>
              <w:jc w:val="center"/>
              <w:rPr>
                <w:rFonts w:hint="eastAsia" w:ascii="仿宋_GB2312" w:hAnsi="仿宋_GB2312" w:eastAsia="仿宋_GB2312" w:cs="仿宋_GB2312"/>
                <w:b/>
                <w:bCs/>
                <w:kern w:val="0"/>
                <w:sz w:val="20"/>
                <w:szCs w:val="20"/>
              </w:rPr>
            </w:pPr>
          </w:p>
          <w:p>
            <w:pPr>
              <w:pStyle w:val="3"/>
              <w:rPr>
                <w:rFonts w:hint="eastAsia" w:ascii="仿宋_GB2312" w:hAnsi="仿宋_GB2312" w:eastAsia="仿宋_GB2312" w:cs="仿宋_GB2312"/>
                <w:bCs/>
              </w:rPr>
            </w:pPr>
          </w:p>
        </w:tc>
        <w:tc>
          <w:tcPr>
            <w:tcW w:w="613" w:type="pct"/>
            <w:vAlign w:val="center"/>
          </w:tcPr>
          <w:p>
            <w:pPr>
              <w:widowControl/>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横向结构</w:t>
            </w:r>
          </w:p>
        </w:tc>
        <w:tc>
          <w:tcPr>
            <w:tcW w:w="330" w:type="pct"/>
            <w:vAlign w:val="center"/>
          </w:tcPr>
          <w:p>
            <w:pPr>
              <w:widowControl/>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学分</w:t>
            </w:r>
          </w:p>
        </w:tc>
        <w:tc>
          <w:tcPr>
            <w:tcW w:w="330" w:type="pct"/>
            <w:vAlign w:val="center"/>
          </w:tcPr>
          <w:p>
            <w:pPr>
              <w:widowControl/>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学时</w:t>
            </w:r>
          </w:p>
        </w:tc>
        <w:tc>
          <w:tcPr>
            <w:tcW w:w="466" w:type="pct"/>
            <w:vAlign w:val="center"/>
          </w:tcPr>
          <w:p>
            <w:pPr>
              <w:widowControl/>
              <w:adjustRightInd w:val="0"/>
              <w:snapToGrid w:val="0"/>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学分比例</w:t>
            </w:r>
          </w:p>
          <w:p>
            <w:pPr>
              <w:widowControl/>
              <w:adjustRightInd w:val="0"/>
              <w:snapToGrid w:val="0"/>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w:t>
            </w:r>
          </w:p>
        </w:tc>
        <w:tc>
          <w:tcPr>
            <w:tcW w:w="466" w:type="pct"/>
          </w:tcPr>
          <w:p>
            <w:pPr>
              <w:widowControl/>
              <w:adjustRightInd w:val="0"/>
              <w:snapToGrid w:val="0"/>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学时比例</w:t>
            </w:r>
          </w:p>
          <w:p>
            <w:pPr>
              <w:widowControl/>
              <w:adjustRightInd w:val="0"/>
              <w:snapToGrid w:val="0"/>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780" w:type="pct"/>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通识必修课</w:t>
            </w:r>
          </w:p>
        </w:tc>
        <w:tc>
          <w:tcPr>
            <w:tcW w:w="516"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52</w:t>
            </w:r>
          </w:p>
        </w:tc>
        <w:tc>
          <w:tcPr>
            <w:tcW w:w="616"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980</w:t>
            </w:r>
          </w:p>
        </w:tc>
        <w:tc>
          <w:tcPr>
            <w:tcW w:w="9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30.59%</w:t>
            </w:r>
          </w:p>
        </w:tc>
        <w:tc>
          <w:tcPr>
            <w:tcW w:w="9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30.59%</w:t>
            </w:r>
          </w:p>
        </w:tc>
        <w:tc>
          <w:tcPr>
            <w:tcW w:w="179" w:type="pct"/>
            <w:vMerge w:val="continue"/>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p>
        </w:tc>
        <w:tc>
          <w:tcPr>
            <w:tcW w:w="613" w:type="pct"/>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必修课</w:t>
            </w:r>
          </w:p>
        </w:tc>
        <w:tc>
          <w:tcPr>
            <w:tcW w:w="562"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145</w:t>
            </w:r>
          </w:p>
        </w:tc>
        <w:tc>
          <w:tcPr>
            <w:tcW w:w="562"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2804</w:t>
            </w:r>
          </w:p>
        </w:tc>
        <w:tc>
          <w:tcPr>
            <w:tcW w:w="7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85.29%</w:t>
            </w:r>
          </w:p>
        </w:tc>
        <w:tc>
          <w:tcPr>
            <w:tcW w:w="7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87.52%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780" w:type="pct"/>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通识选修课</w:t>
            </w:r>
          </w:p>
        </w:tc>
        <w:tc>
          <w:tcPr>
            <w:tcW w:w="516"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6</w:t>
            </w:r>
          </w:p>
        </w:tc>
        <w:tc>
          <w:tcPr>
            <w:tcW w:w="616"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96</w:t>
            </w:r>
          </w:p>
        </w:tc>
        <w:tc>
          <w:tcPr>
            <w:tcW w:w="9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3.53%</w:t>
            </w:r>
          </w:p>
        </w:tc>
        <w:tc>
          <w:tcPr>
            <w:tcW w:w="9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3.00%</w:t>
            </w:r>
          </w:p>
        </w:tc>
        <w:tc>
          <w:tcPr>
            <w:tcW w:w="179" w:type="pct"/>
            <w:vMerge w:val="continue"/>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p>
        </w:tc>
        <w:tc>
          <w:tcPr>
            <w:tcW w:w="613" w:type="pct"/>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选修课</w:t>
            </w:r>
          </w:p>
        </w:tc>
        <w:tc>
          <w:tcPr>
            <w:tcW w:w="562"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25</w:t>
            </w:r>
          </w:p>
        </w:tc>
        <w:tc>
          <w:tcPr>
            <w:tcW w:w="562"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400</w:t>
            </w:r>
          </w:p>
        </w:tc>
        <w:tc>
          <w:tcPr>
            <w:tcW w:w="7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14.71%</w:t>
            </w:r>
          </w:p>
        </w:tc>
        <w:tc>
          <w:tcPr>
            <w:tcW w:w="7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12.48%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780" w:type="pct"/>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专业通识必修课</w:t>
            </w:r>
          </w:p>
        </w:tc>
        <w:tc>
          <w:tcPr>
            <w:tcW w:w="516"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7</w:t>
            </w:r>
          </w:p>
        </w:tc>
        <w:tc>
          <w:tcPr>
            <w:tcW w:w="616"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112</w:t>
            </w:r>
          </w:p>
        </w:tc>
        <w:tc>
          <w:tcPr>
            <w:tcW w:w="9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4.12%</w:t>
            </w:r>
          </w:p>
        </w:tc>
        <w:tc>
          <w:tcPr>
            <w:tcW w:w="9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3.50%</w:t>
            </w:r>
          </w:p>
        </w:tc>
        <w:tc>
          <w:tcPr>
            <w:tcW w:w="179" w:type="pct"/>
            <w:vMerge w:val="continue"/>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p>
        </w:tc>
        <w:tc>
          <w:tcPr>
            <w:tcW w:w="613" w:type="pct"/>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合计</w:t>
            </w:r>
          </w:p>
        </w:tc>
        <w:tc>
          <w:tcPr>
            <w:tcW w:w="562"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170</w:t>
            </w:r>
          </w:p>
        </w:tc>
        <w:tc>
          <w:tcPr>
            <w:tcW w:w="562"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3204</w:t>
            </w:r>
          </w:p>
        </w:tc>
        <w:tc>
          <w:tcPr>
            <w:tcW w:w="7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100%</w:t>
            </w:r>
          </w:p>
        </w:tc>
        <w:tc>
          <w:tcPr>
            <w:tcW w:w="7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780" w:type="pct"/>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专业基础课</w:t>
            </w:r>
          </w:p>
        </w:tc>
        <w:tc>
          <w:tcPr>
            <w:tcW w:w="516"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22</w:t>
            </w:r>
          </w:p>
        </w:tc>
        <w:tc>
          <w:tcPr>
            <w:tcW w:w="616"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352</w:t>
            </w:r>
          </w:p>
        </w:tc>
        <w:tc>
          <w:tcPr>
            <w:tcW w:w="9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12.94%</w:t>
            </w:r>
          </w:p>
        </w:tc>
        <w:tc>
          <w:tcPr>
            <w:tcW w:w="9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10.99%</w:t>
            </w:r>
          </w:p>
        </w:tc>
        <w:tc>
          <w:tcPr>
            <w:tcW w:w="179" w:type="pct"/>
            <w:vMerge w:val="continue"/>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p>
        </w:tc>
        <w:tc>
          <w:tcPr>
            <w:tcW w:w="613" w:type="pct"/>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理论学时</w:t>
            </w:r>
          </w:p>
        </w:tc>
        <w:tc>
          <w:tcPr>
            <w:tcW w:w="562"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w:t>
            </w:r>
          </w:p>
        </w:tc>
        <w:tc>
          <w:tcPr>
            <w:tcW w:w="562"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1275</w:t>
            </w:r>
          </w:p>
        </w:tc>
        <w:tc>
          <w:tcPr>
            <w:tcW w:w="7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w:t>
            </w:r>
          </w:p>
        </w:tc>
        <w:tc>
          <w:tcPr>
            <w:tcW w:w="7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39.79%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780" w:type="pct"/>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专业核心课</w:t>
            </w:r>
          </w:p>
        </w:tc>
        <w:tc>
          <w:tcPr>
            <w:tcW w:w="516"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28</w:t>
            </w:r>
          </w:p>
        </w:tc>
        <w:tc>
          <w:tcPr>
            <w:tcW w:w="616"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448</w:t>
            </w:r>
          </w:p>
        </w:tc>
        <w:tc>
          <w:tcPr>
            <w:tcW w:w="9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16.47%</w:t>
            </w:r>
          </w:p>
        </w:tc>
        <w:tc>
          <w:tcPr>
            <w:tcW w:w="9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13.98%</w:t>
            </w:r>
          </w:p>
        </w:tc>
        <w:tc>
          <w:tcPr>
            <w:tcW w:w="179" w:type="pct"/>
            <w:vMerge w:val="continue"/>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p>
        </w:tc>
        <w:tc>
          <w:tcPr>
            <w:tcW w:w="613" w:type="pct"/>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实践学时</w:t>
            </w:r>
          </w:p>
        </w:tc>
        <w:tc>
          <w:tcPr>
            <w:tcW w:w="562"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w:t>
            </w:r>
          </w:p>
        </w:tc>
        <w:tc>
          <w:tcPr>
            <w:tcW w:w="562"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1929</w:t>
            </w:r>
          </w:p>
        </w:tc>
        <w:tc>
          <w:tcPr>
            <w:tcW w:w="7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w:t>
            </w:r>
          </w:p>
        </w:tc>
        <w:tc>
          <w:tcPr>
            <w:tcW w:w="7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60.21%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780" w:type="pct"/>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专业拓展课</w:t>
            </w:r>
          </w:p>
        </w:tc>
        <w:tc>
          <w:tcPr>
            <w:tcW w:w="516"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10</w:t>
            </w:r>
          </w:p>
        </w:tc>
        <w:tc>
          <w:tcPr>
            <w:tcW w:w="616"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160</w:t>
            </w:r>
          </w:p>
        </w:tc>
        <w:tc>
          <w:tcPr>
            <w:tcW w:w="9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5.88%</w:t>
            </w:r>
          </w:p>
        </w:tc>
        <w:tc>
          <w:tcPr>
            <w:tcW w:w="9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4.99%</w:t>
            </w:r>
          </w:p>
        </w:tc>
        <w:tc>
          <w:tcPr>
            <w:tcW w:w="179" w:type="pct"/>
            <w:vMerge w:val="continue"/>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p>
        </w:tc>
        <w:tc>
          <w:tcPr>
            <w:tcW w:w="613" w:type="pct"/>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*其中课外实践学时</w:t>
            </w:r>
          </w:p>
        </w:tc>
        <w:tc>
          <w:tcPr>
            <w:tcW w:w="562"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w:t>
            </w:r>
          </w:p>
        </w:tc>
        <w:tc>
          <w:tcPr>
            <w:tcW w:w="562"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932</w:t>
            </w:r>
          </w:p>
        </w:tc>
        <w:tc>
          <w:tcPr>
            <w:tcW w:w="7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w:t>
            </w:r>
          </w:p>
        </w:tc>
        <w:tc>
          <w:tcPr>
            <w:tcW w:w="7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780" w:type="pct"/>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专业选修课</w:t>
            </w:r>
          </w:p>
        </w:tc>
        <w:tc>
          <w:tcPr>
            <w:tcW w:w="516"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19</w:t>
            </w:r>
          </w:p>
        </w:tc>
        <w:tc>
          <w:tcPr>
            <w:tcW w:w="616"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304</w:t>
            </w:r>
          </w:p>
        </w:tc>
        <w:tc>
          <w:tcPr>
            <w:tcW w:w="9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11.18%</w:t>
            </w:r>
          </w:p>
        </w:tc>
        <w:tc>
          <w:tcPr>
            <w:tcW w:w="9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9.49%</w:t>
            </w:r>
          </w:p>
        </w:tc>
        <w:tc>
          <w:tcPr>
            <w:tcW w:w="179" w:type="pct"/>
            <w:vMerge w:val="continue"/>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p>
        </w:tc>
        <w:tc>
          <w:tcPr>
            <w:tcW w:w="613" w:type="pct"/>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小计</w:t>
            </w:r>
          </w:p>
        </w:tc>
        <w:tc>
          <w:tcPr>
            <w:tcW w:w="562" w:type="dxa"/>
            <w:tcMar>
              <w:top w:w="0" w:type="dxa"/>
              <w:left w:w="0" w:type="dxa"/>
              <w:bottom w:w="0" w:type="dxa"/>
              <w:right w:w="0" w:type="dxa"/>
            </w:tcMar>
            <w:vAlign w:val="center"/>
          </w:tcPr>
          <w:p>
            <w:pPr>
              <w:jc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w:t>
            </w:r>
          </w:p>
        </w:tc>
        <w:tc>
          <w:tcPr>
            <w:tcW w:w="562"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3204</w:t>
            </w:r>
          </w:p>
        </w:tc>
        <w:tc>
          <w:tcPr>
            <w:tcW w:w="7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w:t>
            </w:r>
          </w:p>
        </w:tc>
        <w:tc>
          <w:tcPr>
            <w:tcW w:w="794" w:type="dxa"/>
            <w:tcMar>
              <w:top w:w="0" w:type="dxa"/>
              <w:left w:w="0" w:type="dxa"/>
              <w:bottom w:w="0" w:type="dxa"/>
              <w:right w:w="0" w:type="dxa"/>
            </w:tcMa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780" w:type="pct"/>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综合实践课</w:t>
            </w:r>
          </w:p>
        </w:tc>
        <w:tc>
          <w:tcPr>
            <w:tcW w:w="516"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26</w:t>
            </w:r>
          </w:p>
        </w:tc>
        <w:tc>
          <w:tcPr>
            <w:tcW w:w="616"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752</w:t>
            </w:r>
          </w:p>
        </w:tc>
        <w:tc>
          <w:tcPr>
            <w:tcW w:w="9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15.29%</w:t>
            </w:r>
          </w:p>
        </w:tc>
        <w:tc>
          <w:tcPr>
            <w:tcW w:w="994" w:type="dxa"/>
            <w:tcMar>
              <w:top w:w="0" w:type="dxa"/>
              <w:left w:w="0" w:type="dxa"/>
              <w:bottom w:w="0" w:type="dxa"/>
              <w:right w:w="0" w:type="dxa"/>
            </w:tcMar>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23.47%</w:t>
            </w:r>
          </w:p>
        </w:tc>
        <w:tc>
          <w:tcPr>
            <w:tcW w:w="179" w:type="pct"/>
            <w:vMerge w:val="continue"/>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p>
        </w:tc>
        <w:tc>
          <w:tcPr>
            <w:tcW w:w="613" w:type="pct"/>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p>
        </w:tc>
        <w:tc>
          <w:tcPr>
            <w:tcW w:w="330" w:type="pct"/>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p>
        </w:tc>
        <w:tc>
          <w:tcPr>
            <w:tcW w:w="330" w:type="pct"/>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p>
        </w:tc>
        <w:tc>
          <w:tcPr>
            <w:tcW w:w="466" w:type="pct"/>
            <w:tcMar>
              <w:top w:w="0" w:type="dxa"/>
              <w:left w:w="0" w:type="dxa"/>
              <w:bottom w:w="0" w:type="dxa"/>
              <w:right w:w="0" w:type="dxa"/>
            </w:tcMar>
            <w:vAlign w:val="center"/>
          </w:tcPr>
          <w:p>
            <w:pPr>
              <w:widowControl/>
              <w:jc w:val="center"/>
              <w:rPr>
                <w:rFonts w:hint="eastAsia" w:ascii="仿宋_GB2312" w:hAnsi="仿宋_GB2312" w:eastAsia="仿宋_GB2312" w:cs="仿宋_GB2312"/>
                <w:sz w:val="20"/>
                <w:szCs w:val="20"/>
              </w:rPr>
            </w:pPr>
          </w:p>
        </w:tc>
        <w:tc>
          <w:tcPr>
            <w:tcW w:w="466" w:type="pct"/>
            <w:tcMar>
              <w:top w:w="0" w:type="dxa"/>
              <w:left w:w="0" w:type="dxa"/>
              <w:bottom w:w="0" w:type="dxa"/>
              <w:right w:w="0" w:type="dxa"/>
            </w:tcMar>
          </w:tcPr>
          <w:p>
            <w:pPr>
              <w:widowControl/>
              <w:jc w:val="center"/>
              <w:rPr>
                <w:rFonts w:hint="eastAsia" w:ascii="仿宋_GB2312" w:hAnsi="仿宋_GB2312" w:eastAsia="仿宋_GB2312" w:cs="仿宋_GB2312"/>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780" w:type="pct"/>
            <w:vAlign w:val="center"/>
          </w:tcPr>
          <w:p>
            <w:pPr>
              <w:widowControl/>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合计</w:t>
            </w:r>
          </w:p>
        </w:tc>
        <w:tc>
          <w:tcPr>
            <w:tcW w:w="516" w:type="dxa"/>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170</w:t>
            </w:r>
          </w:p>
        </w:tc>
        <w:tc>
          <w:tcPr>
            <w:tcW w:w="616" w:type="dxa"/>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3204</w:t>
            </w:r>
          </w:p>
        </w:tc>
        <w:tc>
          <w:tcPr>
            <w:tcW w:w="994" w:type="dxa"/>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100%</w:t>
            </w:r>
          </w:p>
        </w:tc>
        <w:tc>
          <w:tcPr>
            <w:tcW w:w="994" w:type="dxa"/>
            <w:vAlign w:val="center"/>
          </w:tcPr>
          <w:p>
            <w:pPr>
              <w:widowControl/>
              <w:jc w:val="center"/>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100%</w:t>
            </w:r>
          </w:p>
        </w:tc>
        <w:tc>
          <w:tcPr>
            <w:tcW w:w="179" w:type="pct"/>
            <w:vAlign w:val="center"/>
          </w:tcPr>
          <w:p>
            <w:pPr>
              <w:widowControl/>
              <w:jc w:val="center"/>
              <w:rPr>
                <w:rFonts w:hint="eastAsia" w:ascii="仿宋_GB2312" w:hAnsi="仿宋_GB2312" w:eastAsia="仿宋_GB2312" w:cs="仿宋_GB2312"/>
                <w:sz w:val="20"/>
                <w:szCs w:val="20"/>
              </w:rPr>
            </w:pPr>
          </w:p>
        </w:tc>
        <w:tc>
          <w:tcPr>
            <w:tcW w:w="613" w:type="pct"/>
            <w:vAlign w:val="center"/>
          </w:tcPr>
          <w:p>
            <w:pPr>
              <w:widowControl/>
              <w:jc w:val="center"/>
              <w:rPr>
                <w:rFonts w:hint="eastAsia" w:ascii="仿宋_GB2312" w:hAnsi="仿宋_GB2312" w:eastAsia="仿宋_GB2312" w:cs="仿宋_GB2312"/>
                <w:sz w:val="20"/>
                <w:szCs w:val="20"/>
              </w:rPr>
            </w:pPr>
          </w:p>
        </w:tc>
        <w:tc>
          <w:tcPr>
            <w:tcW w:w="330" w:type="pct"/>
            <w:vAlign w:val="center"/>
          </w:tcPr>
          <w:p>
            <w:pPr>
              <w:widowControl/>
              <w:jc w:val="center"/>
              <w:rPr>
                <w:rFonts w:hint="eastAsia" w:ascii="仿宋_GB2312" w:hAnsi="仿宋_GB2312" w:eastAsia="仿宋_GB2312" w:cs="仿宋_GB2312"/>
                <w:sz w:val="20"/>
                <w:szCs w:val="20"/>
              </w:rPr>
            </w:pPr>
          </w:p>
        </w:tc>
        <w:tc>
          <w:tcPr>
            <w:tcW w:w="330" w:type="pct"/>
            <w:vAlign w:val="center"/>
          </w:tcPr>
          <w:p>
            <w:pPr>
              <w:widowControl/>
              <w:jc w:val="center"/>
              <w:rPr>
                <w:rFonts w:hint="eastAsia" w:ascii="仿宋_GB2312" w:hAnsi="仿宋_GB2312" w:eastAsia="仿宋_GB2312" w:cs="仿宋_GB2312"/>
                <w:sz w:val="20"/>
                <w:szCs w:val="20"/>
              </w:rPr>
            </w:pPr>
          </w:p>
        </w:tc>
        <w:tc>
          <w:tcPr>
            <w:tcW w:w="466" w:type="pct"/>
            <w:vAlign w:val="center"/>
          </w:tcPr>
          <w:p>
            <w:pPr>
              <w:widowControl/>
              <w:jc w:val="center"/>
              <w:rPr>
                <w:rFonts w:hint="eastAsia" w:ascii="仿宋_GB2312" w:hAnsi="仿宋_GB2312" w:eastAsia="仿宋_GB2312" w:cs="仿宋_GB2312"/>
                <w:sz w:val="20"/>
                <w:szCs w:val="20"/>
              </w:rPr>
            </w:pPr>
          </w:p>
        </w:tc>
        <w:tc>
          <w:tcPr>
            <w:tcW w:w="466" w:type="pct"/>
          </w:tcPr>
          <w:p>
            <w:pPr>
              <w:widowControl/>
              <w:jc w:val="center"/>
              <w:rPr>
                <w:rFonts w:hint="eastAsia" w:ascii="仿宋_GB2312" w:hAnsi="仿宋_GB2312" w:eastAsia="仿宋_GB2312" w:cs="仿宋_GB2312"/>
                <w:sz w:val="20"/>
                <w:szCs w:val="20"/>
              </w:rPr>
            </w:pPr>
          </w:p>
        </w:tc>
      </w:tr>
    </w:tbl>
    <w:p>
      <w:pPr>
        <w:pStyle w:val="7"/>
        <w:jc w:val="center"/>
        <w:rPr>
          <w:rFonts w:hint="eastAsia" w:ascii="仿宋" w:hAnsi="仿宋" w:eastAsia="仿宋" w:cs="仿宋"/>
          <w:b/>
          <w:bCs/>
          <w:sz w:val="24"/>
          <w:szCs w:val="24"/>
        </w:rPr>
      </w:pPr>
    </w:p>
    <w:p>
      <w:pPr>
        <w:pStyle w:val="3"/>
        <w:ind w:firstLine="562" w:firstLineChars="200"/>
        <w:rPr>
          <w:rFonts w:hint="eastAsia" w:ascii="仿宋_GB2312" w:hAnsi="仿宋_GB2312" w:eastAsia="仿宋_GB2312" w:cs="仿宋_GB2312"/>
          <w:sz w:val="28"/>
          <w:szCs w:val="36"/>
        </w:rPr>
      </w:pPr>
      <w:bookmarkStart w:id="14" w:name="_Toc5913"/>
      <w:r>
        <w:rPr>
          <w:rFonts w:hint="eastAsia" w:ascii="仿宋_GB2312" w:hAnsi="仿宋_GB2312" w:eastAsia="仿宋_GB2312" w:cs="仿宋_GB2312"/>
          <w:sz w:val="28"/>
          <w:szCs w:val="36"/>
        </w:rPr>
        <w:t>（三）第一课堂进程安排</w:t>
      </w:r>
      <w:bookmarkEnd w:id="14"/>
    </w:p>
    <w:p>
      <w:pPr>
        <w:pStyle w:val="4"/>
        <w:spacing w:line="240" w:lineRule="auto"/>
        <w:ind w:firstLine="560"/>
        <w:rPr>
          <w:rFonts w:hint="eastAsia" w:ascii="宋体" w:hAnsi="宋体" w:eastAsia="宋体" w:cs="宋体"/>
          <w:bCs/>
          <w:szCs w:val="21"/>
        </w:rPr>
      </w:pPr>
      <w:bookmarkStart w:id="15" w:name="_Toc1337"/>
      <w:bookmarkStart w:id="16" w:name="_Toc23969"/>
      <w:r>
        <w:rPr>
          <w:rFonts w:hint="eastAsia" w:ascii="宋体" w:hAnsi="宋体" w:eastAsia="宋体" w:cs="宋体"/>
          <w:bCs/>
          <w:szCs w:val="21"/>
        </w:rPr>
        <w:t>1. 通识教育课程安排</w:t>
      </w:r>
      <w:bookmarkEnd w:id="15"/>
      <w:bookmarkEnd w:id="16"/>
    </w:p>
    <w:tbl>
      <w:tblPr>
        <w:tblStyle w:val="15"/>
        <w:tblW w:w="4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4"/>
        <w:gridCol w:w="2405"/>
        <w:gridCol w:w="1378"/>
        <w:gridCol w:w="1199"/>
        <w:gridCol w:w="1209"/>
        <w:gridCol w:w="1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7" w:type="pct"/>
            <w:vAlign w:val="center"/>
          </w:tcPr>
          <w:p>
            <w:pPr>
              <w:jc w:val="center"/>
              <w:rPr>
                <w:b/>
                <w:bCs/>
                <w:szCs w:val="16"/>
              </w:rPr>
            </w:pPr>
            <w:bookmarkStart w:id="17" w:name="_Toc110195952"/>
            <w:bookmarkStart w:id="18" w:name="_Toc31667"/>
            <w:r>
              <w:rPr>
                <w:rFonts w:hint="eastAsia"/>
                <w:b/>
                <w:bCs/>
                <w:szCs w:val="16"/>
              </w:rPr>
              <w:t>序号</w:t>
            </w:r>
            <w:bookmarkEnd w:id="17"/>
          </w:p>
        </w:tc>
        <w:tc>
          <w:tcPr>
            <w:tcW w:w="1485" w:type="pct"/>
            <w:vAlign w:val="center"/>
          </w:tcPr>
          <w:p>
            <w:pPr>
              <w:jc w:val="center"/>
              <w:rPr>
                <w:b/>
                <w:bCs/>
                <w:szCs w:val="16"/>
              </w:rPr>
            </w:pPr>
            <w:bookmarkStart w:id="19" w:name="_Toc110195953"/>
            <w:r>
              <w:rPr>
                <w:rFonts w:hint="eastAsia"/>
                <w:b/>
                <w:bCs/>
                <w:szCs w:val="16"/>
              </w:rPr>
              <w:t>课程名称</w:t>
            </w:r>
            <w:bookmarkEnd w:id="19"/>
          </w:p>
        </w:tc>
        <w:tc>
          <w:tcPr>
            <w:tcW w:w="851" w:type="pct"/>
            <w:vAlign w:val="center"/>
          </w:tcPr>
          <w:p>
            <w:pPr>
              <w:jc w:val="center"/>
              <w:rPr>
                <w:b/>
                <w:bCs/>
                <w:szCs w:val="16"/>
              </w:rPr>
            </w:pPr>
            <w:bookmarkStart w:id="20" w:name="_Toc110195954"/>
            <w:r>
              <w:rPr>
                <w:rFonts w:hint="eastAsia"/>
                <w:b/>
                <w:bCs/>
                <w:szCs w:val="16"/>
              </w:rPr>
              <w:t>课程</w:t>
            </w:r>
          </w:p>
          <w:p>
            <w:pPr>
              <w:jc w:val="center"/>
              <w:rPr>
                <w:b/>
                <w:bCs/>
                <w:szCs w:val="16"/>
              </w:rPr>
            </w:pPr>
            <w:r>
              <w:rPr>
                <w:rFonts w:hint="eastAsia"/>
                <w:b/>
                <w:bCs/>
                <w:szCs w:val="16"/>
              </w:rPr>
              <w:t>性质</w:t>
            </w:r>
          </w:p>
        </w:tc>
        <w:tc>
          <w:tcPr>
            <w:tcW w:w="741" w:type="pct"/>
            <w:vAlign w:val="center"/>
          </w:tcPr>
          <w:p>
            <w:pPr>
              <w:jc w:val="center"/>
              <w:rPr>
                <w:b/>
                <w:bCs/>
                <w:szCs w:val="16"/>
              </w:rPr>
            </w:pPr>
            <w:r>
              <w:rPr>
                <w:rFonts w:hint="eastAsia"/>
                <w:b/>
                <w:bCs/>
                <w:szCs w:val="16"/>
              </w:rPr>
              <w:t>课程代码</w:t>
            </w:r>
          </w:p>
        </w:tc>
        <w:tc>
          <w:tcPr>
            <w:tcW w:w="747" w:type="pct"/>
            <w:vAlign w:val="center"/>
          </w:tcPr>
          <w:p>
            <w:pPr>
              <w:jc w:val="center"/>
              <w:rPr>
                <w:b/>
                <w:bCs/>
                <w:szCs w:val="16"/>
              </w:rPr>
            </w:pPr>
            <w:r>
              <w:rPr>
                <w:rFonts w:hint="eastAsia"/>
                <w:b/>
                <w:bCs/>
                <w:szCs w:val="16"/>
              </w:rPr>
              <w:t>学分/学时</w:t>
            </w:r>
          </w:p>
        </w:tc>
        <w:tc>
          <w:tcPr>
            <w:tcW w:w="726" w:type="pct"/>
            <w:vAlign w:val="center"/>
          </w:tcPr>
          <w:p>
            <w:pPr>
              <w:jc w:val="center"/>
              <w:rPr>
                <w:b/>
                <w:bCs/>
                <w:szCs w:val="16"/>
              </w:rPr>
            </w:pPr>
            <w:r>
              <w:rPr>
                <w:rFonts w:hint="eastAsia"/>
                <w:b/>
                <w:bCs/>
                <w:szCs w:val="16"/>
              </w:rPr>
              <w:t>开设</w:t>
            </w:r>
            <w:bookmarkEnd w:id="20"/>
            <w:r>
              <w:rPr>
                <w:rFonts w:hint="eastAsia"/>
                <w:b/>
                <w:bCs/>
                <w:szCs w:val="16"/>
              </w:rPr>
              <w:t>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sz w:val="22"/>
                <w:szCs w:val="22"/>
              </w:rPr>
            </w:pPr>
            <w:r>
              <w:rPr>
                <w:rFonts w:hint="eastAsia" w:ascii="宋体" w:hAnsi="宋体" w:eastAsia="宋体" w:cs="宋体"/>
                <w:color w:val="000000"/>
                <w:kern w:val="0"/>
                <w:sz w:val="22"/>
                <w:szCs w:val="22"/>
                <w:lang w:bidi="ar"/>
              </w:rPr>
              <w:t>1</w:t>
            </w:r>
          </w:p>
        </w:tc>
        <w:tc>
          <w:tcPr>
            <w:tcW w:w="1485" w:type="pct"/>
            <w:vAlign w:val="center"/>
          </w:tcPr>
          <w:p>
            <w:pPr>
              <w:widowControl/>
              <w:snapToGrid w:val="0"/>
              <w:textAlignment w:val="center"/>
              <w:rPr>
                <w:sz w:val="22"/>
                <w:szCs w:val="22"/>
              </w:rPr>
            </w:pPr>
            <w:r>
              <w:rPr>
                <w:rFonts w:hint="eastAsia" w:ascii="仿宋" w:hAnsi="仿宋" w:eastAsia="仿宋" w:cs="仿宋"/>
                <w:color w:val="000000"/>
                <w:kern w:val="0"/>
                <w:sz w:val="22"/>
                <w:szCs w:val="22"/>
                <w:lang w:bidi="ar"/>
              </w:rPr>
              <w:t>军事技能</w:t>
            </w:r>
          </w:p>
        </w:tc>
        <w:tc>
          <w:tcPr>
            <w:tcW w:w="851"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11020001</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2/112</w:t>
            </w:r>
          </w:p>
        </w:tc>
        <w:tc>
          <w:tcPr>
            <w:tcW w:w="726"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sz w:val="22"/>
                <w:szCs w:val="22"/>
              </w:rPr>
            </w:pPr>
            <w:r>
              <w:rPr>
                <w:rFonts w:hint="eastAsia" w:ascii="宋体" w:hAnsi="宋体" w:eastAsia="宋体" w:cs="宋体"/>
                <w:color w:val="000000"/>
                <w:kern w:val="0"/>
                <w:sz w:val="22"/>
                <w:szCs w:val="22"/>
                <w:lang w:bidi="ar"/>
              </w:rPr>
              <w:t>2</w:t>
            </w:r>
          </w:p>
        </w:tc>
        <w:tc>
          <w:tcPr>
            <w:tcW w:w="1485" w:type="pct"/>
            <w:vAlign w:val="center"/>
          </w:tcPr>
          <w:p>
            <w:pPr>
              <w:widowControl/>
              <w:snapToGrid w:val="0"/>
              <w:textAlignment w:val="center"/>
              <w:rPr>
                <w:sz w:val="22"/>
                <w:szCs w:val="22"/>
              </w:rPr>
            </w:pPr>
            <w:r>
              <w:rPr>
                <w:rFonts w:hint="eastAsia" w:ascii="仿宋" w:hAnsi="仿宋" w:eastAsia="仿宋" w:cs="仿宋"/>
                <w:color w:val="000000"/>
                <w:kern w:val="0"/>
                <w:sz w:val="22"/>
                <w:szCs w:val="22"/>
                <w:lang w:bidi="ar"/>
              </w:rPr>
              <w:t>大学生安全教育（一）</w:t>
            </w:r>
          </w:p>
        </w:tc>
        <w:tc>
          <w:tcPr>
            <w:tcW w:w="851"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95020008</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0.25/4</w:t>
            </w:r>
          </w:p>
        </w:tc>
        <w:tc>
          <w:tcPr>
            <w:tcW w:w="726"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sz w:val="22"/>
                <w:szCs w:val="22"/>
              </w:rPr>
            </w:pPr>
            <w:r>
              <w:rPr>
                <w:rFonts w:hint="eastAsia" w:ascii="宋体" w:hAnsi="宋体" w:eastAsia="宋体" w:cs="宋体"/>
                <w:color w:val="000000"/>
                <w:kern w:val="0"/>
                <w:sz w:val="22"/>
                <w:szCs w:val="22"/>
                <w:lang w:bidi="ar"/>
              </w:rPr>
              <w:t>3</w:t>
            </w:r>
          </w:p>
        </w:tc>
        <w:tc>
          <w:tcPr>
            <w:tcW w:w="1485" w:type="pct"/>
            <w:vAlign w:val="center"/>
          </w:tcPr>
          <w:p>
            <w:pPr>
              <w:widowControl/>
              <w:snapToGrid w:val="0"/>
              <w:textAlignment w:val="center"/>
              <w:rPr>
                <w:rFonts w:ascii="仿宋_GB2312"/>
                <w:sz w:val="22"/>
                <w:szCs w:val="22"/>
              </w:rPr>
            </w:pPr>
            <w:r>
              <w:rPr>
                <w:rFonts w:hint="eastAsia" w:ascii="仿宋" w:hAnsi="仿宋" w:eastAsia="仿宋" w:cs="仿宋"/>
                <w:color w:val="000000"/>
                <w:kern w:val="0"/>
                <w:sz w:val="22"/>
                <w:szCs w:val="22"/>
                <w:lang w:bidi="ar"/>
              </w:rPr>
              <w:t>大学生安全教育（二）</w:t>
            </w:r>
          </w:p>
        </w:tc>
        <w:tc>
          <w:tcPr>
            <w:tcW w:w="851"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95020009</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0.25/4</w:t>
            </w:r>
          </w:p>
        </w:tc>
        <w:tc>
          <w:tcPr>
            <w:tcW w:w="726" w:type="pct"/>
            <w:vAlign w:val="center"/>
          </w:tcPr>
          <w:p>
            <w:pPr>
              <w:widowControl/>
              <w:snapToGrid w:val="0"/>
              <w:jc w:val="center"/>
              <w:textAlignment w:val="center"/>
              <w:rPr>
                <w:rFonts w:ascii="仿宋_GB2312"/>
                <w:sz w:val="22"/>
                <w:szCs w:val="22"/>
              </w:rPr>
            </w:pPr>
            <w:r>
              <w:rPr>
                <w:rFonts w:hint="eastAsia" w:ascii="仿宋" w:hAnsi="仿宋" w:eastAsia="仿宋" w:cs="仿宋"/>
                <w:color w:val="000000"/>
                <w:kern w:val="0"/>
                <w:sz w:val="22"/>
                <w:szCs w:val="22"/>
                <w:lang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sz w:val="22"/>
                <w:szCs w:val="22"/>
              </w:rPr>
            </w:pPr>
            <w:r>
              <w:rPr>
                <w:rFonts w:hint="eastAsia" w:ascii="宋体" w:hAnsi="宋体" w:eastAsia="宋体" w:cs="宋体"/>
                <w:color w:val="000000"/>
                <w:kern w:val="0"/>
                <w:sz w:val="22"/>
                <w:szCs w:val="22"/>
                <w:lang w:bidi="ar"/>
              </w:rPr>
              <w:t>4</w:t>
            </w:r>
          </w:p>
        </w:tc>
        <w:tc>
          <w:tcPr>
            <w:tcW w:w="1485" w:type="pct"/>
            <w:vAlign w:val="center"/>
          </w:tcPr>
          <w:p>
            <w:pPr>
              <w:widowControl/>
              <w:snapToGrid w:val="0"/>
              <w:jc w:val="left"/>
              <w:textAlignment w:val="center"/>
              <w:rPr>
                <w:rFonts w:ascii="仿宋_GB2312"/>
                <w:sz w:val="22"/>
                <w:szCs w:val="22"/>
              </w:rPr>
            </w:pPr>
            <w:r>
              <w:rPr>
                <w:rFonts w:hint="eastAsia" w:ascii="仿宋" w:hAnsi="仿宋" w:eastAsia="仿宋" w:cs="仿宋"/>
                <w:color w:val="000000"/>
                <w:kern w:val="0"/>
                <w:sz w:val="22"/>
                <w:szCs w:val="22"/>
                <w:lang w:bidi="ar"/>
              </w:rPr>
              <w:t>大学生安全教育（三）</w:t>
            </w:r>
          </w:p>
        </w:tc>
        <w:tc>
          <w:tcPr>
            <w:tcW w:w="851"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95020010</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0.25/4</w:t>
            </w:r>
          </w:p>
        </w:tc>
        <w:tc>
          <w:tcPr>
            <w:tcW w:w="726" w:type="pct"/>
            <w:vAlign w:val="center"/>
          </w:tcPr>
          <w:p>
            <w:pPr>
              <w:widowControl/>
              <w:snapToGrid w:val="0"/>
              <w:jc w:val="center"/>
              <w:textAlignment w:val="center"/>
              <w:rPr>
                <w:rFonts w:ascii="仿宋_GB2312"/>
                <w:sz w:val="22"/>
                <w:szCs w:val="22"/>
              </w:rPr>
            </w:pPr>
            <w:r>
              <w:rPr>
                <w:rFonts w:hint="eastAsia" w:ascii="仿宋" w:hAnsi="仿宋" w:eastAsia="仿宋" w:cs="仿宋"/>
                <w:color w:val="000000"/>
                <w:kern w:val="0"/>
                <w:sz w:val="22"/>
                <w:szCs w:val="22"/>
                <w:lang w:bidi="a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sz w:val="22"/>
                <w:szCs w:val="22"/>
              </w:rPr>
            </w:pPr>
            <w:r>
              <w:rPr>
                <w:rFonts w:hint="eastAsia" w:ascii="宋体" w:hAnsi="宋体" w:eastAsia="宋体" w:cs="宋体"/>
                <w:color w:val="000000"/>
                <w:kern w:val="0"/>
                <w:sz w:val="22"/>
                <w:szCs w:val="22"/>
                <w:lang w:bidi="ar"/>
              </w:rPr>
              <w:t>5</w:t>
            </w:r>
          </w:p>
        </w:tc>
        <w:tc>
          <w:tcPr>
            <w:tcW w:w="1485" w:type="pct"/>
            <w:vAlign w:val="center"/>
          </w:tcPr>
          <w:p>
            <w:pPr>
              <w:widowControl/>
              <w:snapToGrid w:val="0"/>
              <w:jc w:val="left"/>
              <w:textAlignment w:val="center"/>
              <w:rPr>
                <w:rFonts w:ascii="仿宋_GB2312"/>
                <w:sz w:val="22"/>
                <w:szCs w:val="22"/>
              </w:rPr>
            </w:pPr>
            <w:r>
              <w:rPr>
                <w:rFonts w:hint="eastAsia" w:ascii="仿宋" w:hAnsi="仿宋" w:eastAsia="仿宋" w:cs="仿宋"/>
                <w:color w:val="000000"/>
                <w:kern w:val="0"/>
                <w:sz w:val="22"/>
                <w:szCs w:val="22"/>
                <w:lang w:bidi="ar"/>
              </w:rPr>
              <w:t>大学生安全教育（四）</w:t>
            </w:r>
          </w:p>
        </w:tc>
        <w:tc>
          <w:tcPr>
            <w:tcW w:w="851"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95020011</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0.25/4</w:t>
            </w:r>
          </w:p>
        </w:tc>
        <w:tc>
          <w:tcPr>
            <w:tcW w:w="726" w:type="pct"/>
            <w:vAlign w:val="center"/>
          </w:tcPr>
          <w:p>
            <w:pPr>
              <w:widowControl/>
              <w:snapToGrid w:val="0"/>
              <w:jc w:val="center"/>
              <w:textAlignment w:val="center"/>
              <w:rPr>
                <w:rFonts w:ascii="仿宋_GB2312"/>
                <w:sz w:val="22"/>
                <w:szCs w:val="22"/>
              </w:rPr>
            </w:pPr>
            <w:r>
              <w:rPr>
                <w:rFonts w:hint="eastAsia" w:ascii="仿宋" w:hAnsi="仿宋" w:eastAsia="仿宋" w:cs="仿宋"/>
                <w:color w:val="000000"/>
                <w:kern w:val="0"/>
                <w:sz w:val="22"/>
                <w:szCs w:val="22"/>
                <w:lang w:bidi="a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sz w:val="22"/>
                <w:szCs w:val="22"/>
              </w:rPr>
            </w:pPr>
            <w:r>
              <w:rPr>
                <w:rFonts w:hint="eastAsia" w:ascii="宋体" w:hAnsi="宋体" w:eastAsia="宋体" w:cs="宋体"/>
                <w:color w:val="000000"/>
                <w:kern w:val="0"/>
                <w:sz w:val="22"/>
                <w:szCs w:val="22"/>
                <w:lang w:bidi="ar"/>
              </w:rPr>
              <w:t>6</w:t>
            </w:r>
          </w:p>
        </w:tc>
        <w:tc>
          <w:tcPr>
            <w:tcW w:w="1485" w:type="pct"/>
            <w:vAlign w:val="center"/>
          </w:tcPr>
          <w:p>
            <w:pPr>
              <w:widowControl/>
              <w:snapToGrid w:val="0"/>
              <w:jc w:val="left"/>
              <w:textAlignment w:val="center"/>
              <w:rPr>
                <w:rFonts w:ascii="仿宋_GB2312"/>
                <w:sz w:val="22"/>
                <w:szCs w:val="22"/>
              </w:rPr>
            </w:pPr>
            <w:r>
              <w:rPr>
                <w:rFonts w:hint="eastAsia" w:ascii="仿宋" w:hAnsi="仿宋" w:eastAsia="仿宋" w:cs="仿宋"/>
                <w:color w:val="000000"/>
                <w:kern w:val="0"/>
                <w:sz w:val="22"/>
                <w:szCs w:val="22"/>
                <w:lang w:bidi="ar"/>
              </w:rPr>
              <w:t>大学生安全教育（五）</w:t>
            </w:r>
          </w:p>
        </w:tc>
        <w:tc>
          <w:tcPr>
            <w:tcW w:w="851"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95020012</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0.25/4</w:t>
            </w:r>
          </w:p>
        </w:tc>
        <w:tc>
          <w:tcPr>
            <w:tcW w:w="726" w:type="pct"/>
            <w:vAlign w:val="center"/>
          </w:tcPr>
          <w:p>
            <w:pPr>
              <w:widowControl/>
              <w:snapToGrid w:val="0"/>
              <w:jc w:val="center"/>
              <w:textAlignment w:val="center"/>
              <w:rPr>
                <w:rFonts w:ascii="仿宋_GB2312"/>
                <w:sz w:val="22"/>
                <w:szCs w:val="22"/>
              </w:rPr>
            </w:pPr>
            <w:r>
              <w:rPr>
                <w:rFonts w:hint="eastAsia" w:ascii="仿宋" w:hAnsi="仿宋" w:eastAsia="仿宋" w:cs="仿宋"/>
                <w:color w:val="000000"/>
                <w:kern w:val="0"/>
                <w:sz w:val="22"/>
                <w:szCs w:val="22"/>
                <w:lang w:bidi="a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sz w:val="22"/>
                <w:szCs w:val="22"/>
              </w:rPr>
            </w:pPr>
            <w:r>
              <w:rPr>
                <w:rFonts w:hint="eastAsia" w:ascii="宋体" w:hAnsi="宋体" w:eastAsia="宋体" w:cs="宋体"/>
                <w:color w:val="000000"/>
                <w:kern w:val="0"/>
                <w:sz w:val="22"/>
                <w:szCs w:val="22"/>
                <w:lang w:bidi="ar"/>
              </w:rPr>
              <w:t>7</w:t>
            </w:r>
          </w:p>
        </w:tc>
        <w:tc>
          <w:tcPr>
            <w:tcW w:w="1485" w:type="pct"/>
            <w:vAlign w:val="center"/>
          </w:tcPr>
          <w:p>
            <w:pPr>
              <w:widowControl/>
              <w:snapToGrid w:val="0"/>
              <w:jc w:val="left"/>
              <w:textAlignment w:val="center"/>
              <w:rPr>
                <w:rFonts w:hint="eastAsia" w:ascii="宋体" w:hAnsi="宋体" w:eastAsia="宋体" w:cs="宋体"/>
                <w:color w:val="000000"/>
                <w:sz w:val="22"/>
                <w:szCs w:val="22"/>
              </w:rPr>
            </w:pPr>
            <w:r>
              <w:rPr>
                <w:rFonts w:hint="eastAsia" w:ascii="仿宋" w:hAnsi="仿宋" w:eastAsia="仿宋" w:cs="仿宋"/>
                <w:color w:val="000000"/>
                <w:kern w:val="0"/>
                <w:sz w:val="22"/>
                <w:szCs w:val="22"/>
                <w:lang w:bidi="ar"/>
              </w:rPr>
              <w:t>大学生安全教育（六）</w:t>
            </w:r>
          </w:p>
        </w:tc>
        <w:tc>
          <w:tcPr>
            <w:tcW w:w="851"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95020013</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0.25/4</w:t>
            </w:r>
          </w:p>
        </w:tc>
        <w:tc>
          <w:tcPr>
            <w:tcW w:w="726" w:type="pct"/>
            <w:vAlign w:val="center"/>
          </w:tcPr>
          <w:p>
            <w:pPr>
              <w:widowControl/>
              <w:snapToGrid w:val="0"/>
              <w:jc w:val="center"/>
              <w:textAlignment w:val="center"/>
              <w:rPr>
                <w:rFonts w:ascii="仿宋_GB2312"/>
                <w:sz w:val="22"/>
                <w:szCs w:val="22"/>
              </w:rPr>
            </w:pPr>
            <w:r>
              <w:rPr>
                <w:rFonts w:hint="eastAsia" w:ascii="仿宋" w:hAnsi="仿宋" w:eastAsia="仿宋" w:cs="仿宋"/>
                <w:color w:val="000000"/>
                <w:kern w:val="0"/>
                <w:sz w:val="22"/>
                <w:szCs w:val="22"/>
                <w:lang w:bidi="ar"/>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sz w:val="22"/>
                <w:szCs w:val="22"/>
              </w:rPr>
            </w:pPr>
            <w:r>
              <w:rPr>
                <w:rFonts w:hint="eastAsia" w:ascii="宋体" w:hAnsi="宋体" w:eastAsia="宋体" w:cs="宋体"/>
                <w:color w:val="000000"/>
                <w:kern w:val="0"/>
                <w:sz w:val="22"/>
                <w:szCs w:val="22"/>
                <w:lang w:bidi="ar"/>
              </w:rPr>
              <w:t>8</w:t>
            </w:r>
          </w:p>
        </w:tc>
        <w:tc>
          <w:tcPr>
            <w:tcW w:w="1485" w:type="pct"/>
            <w:vAlign w:val="center"/>
          </w:tcPr>
          <w:p>
            <w:pPr>
              <w:widowControl/>
              <w:snapToGrid w:val="0"/>
              <w:jc w:val="left"/>
              <w:textAlignment w:val="center"/>
              <w:rPr>
                <w:sz w:val="22"/>
                <w:szCs w:val="22"/>
              </w:rPr>
            </w:pPr>
            <w:r>
              <w:rPr>
                <w:rFonts w:hint="eastAsia" w:ascii="仿宋" w:hAnsi="仿宋" w:eastAsia="仿宋" w:cs="仿宋"/>
                <w:color w:val="000000"/>
                <w:kern w:val="0"/>
                <w:sz w:val="22"/>
                <w:szCs w:val="22"/>
                <w:lang w:bidi="ar"/>
              </w:rPr>
              <w:t>马克思主义基本原理</w:t>
            </w:r>
          </w:p>
        </w:tc>
        <w:tc>
          <w:tcPr>
            <w:tcW w:w="851"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49020032</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3/48</w:t>
            </w:r>
          </w:p>
        </w:tc>
        <w:tc>
          <w:tcPr>
            <w:tcW w:w="726"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sz w:val="22"/>
                <w:szCs w:val="22"/>
              </w:rPr>
            </w:pPr>
            <w:r>
              <w:rPr>
                <w:rFonts w:hint="eastAsia" w:ascii="宋体" w:hAnsi="宋体" w:eastAsia="宋体" w:cs="宋体"/>
                <w:color w:val="000000"/>
                <w:kern w:val="0"/>
                <w:sz w:val="22"/>
                <w:szCs w:val="22"/>
                <w:lang w:bidi="ar"/>
              </w:rPr>
              <w:t>9</w:t>
            </w:r>
          </w:p>
        </w:tc>
        <w:tc>
          <w:tcPr>
            <w:tcW w:w="1485" w:type="pct"/>
            <w:vAlign w:val="center"/>
          </w:tcPr>
          <w:p>
            <w:pPr>
              <w:widowControl/>
              <w:snapToGrid w:val="0"/>
              <w:jc w:val="left"/>
              <w:textAlignment w:val="center"/>
              <w:rPr>
                <w:sz w:val="22"/>
                <w:szCs w:val="22"/>
              </w:rPr>
            </w:pPr>
            <w:r>
              <w:rPr>
                <w:rFonts w:hint="eastAsia" w:ascii="仿宋" w:hAnsi="仿宋" w:eastAsia="仿宋" w:cs="仿宋"/>
                <w:color w:val="000000"/>
                <w:kern w:val="0"/>
                <w:sz w:val="22"/>
                <w:szCs w:val="22"/>
                <w:lang w:bidi="ar"/>
              </w:rPr>
              <w:t>中国近现代史纲要</w:t>
            </w:r>
          </w:p>
        </w:tc>
        <w:tc>
          <w:tcPr>
            <w:tcW w:w="851"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49020003</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3/48</w:t>
            </w:r>
          </w:p>
        </w:tc>
        <w:tc>
          <w:tcPr>
            <w:tcW w:w="726"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sz w:val="22"/>
                <w:szCs w:val="22"/>
              </w:rPr>
            </w:pPr>
            <w:r>
              <w:rPr>
                <w:rFonts w:hint="eastAsia" w:ascii="宋体" w:hAnsi="宋体" w:eastAsia="宋体" w:cs="宋体"/>
                <w:color w:val="000000"/>
                <w:kern w:val="0"/>
                <w:sz w:val="22"/>
                <w:szCs w:val="22"/>
                <w:lang w:bidi="ar"/>
              </w:rPr>
              <w:t>10</w:t>
            </w:r>
          </w:p>
        </w:tc>
        <w:tc>
          <w:tcPr>
            <w:tcW w:w="1485" w:type="pct"/>
            <w:vAlign w:val="center"/>
          </w:tcPr>
          <w:p>
            <w:pPr>
              <w:widowControl/>
              <w:snapToGrid w:val="0"/>
              <w:jc w:val="left"/>
              <w:textAlignment w:val="center"/>
              <w:rPr>
                <w:sz w:val="22"/>
                <w:szCs w:val="22"/>
              </w:rPr>
            </w:pPr>
            <w:r>
              <w:rPr>
                <w:rFonts w:hint="eastAsia" w:ascii="仿宋" w:hAnsi="仿宋" w:eastAsia="仿宋" w:cs="仿宋"/>
                <w:color w:val="000000"/>
                <w:kern w:val="0"/>
                <w:sz w:val="22"/>
                <w:szCs w:val="22"/>
                <w:lang w:bidi="ar"/>
              </w:rPr>
              <w:t>中华民族共同体概论</w:t>
            </w:r>
          </w:p>
        </w:tc>
        <w:tc>
          <w:tcPr>
            <w:tcW w:w="851"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49020021</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2/36</w:t>
            </w:r>
          </w:p>
        </w:tc>
        <w:tc>
          <w:tcPr>
            <w:tcW w:w="726"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sz w:val="22"/>
                <w:szCs w:val="22"/>
              </w:rPr>
            </w:pPr>
            <w:r>
              <w:rPr>
                <w:rFonts w:hint="eastAsia" w:ascii="宋体" w:hAnsi="宋体" w:eastAsia="宋体" w:cs="宋体"/>
                <w:color w:val="000000"/>
                <w:kern w:val="0"/>
                <w:sz w:val="22"/>
                <w:szCs w:val="22"/>
                <w:lang w:bidi="ar"/>
              </w:rPr>
              <w:t>11</w:t>
            </w:r>
          </w:p>
        </w:tc>
        <w:tc>
          <w:tcPr>
            <w:tcW w:w="1485" w:type="pct"/>
            <w:vAlign w:val="center"/>
          </w:tcPr>
          <w:p>
            <w:pPr>
              <w:widowControl/>
              <w:snapToGrid w:val="0"/>
              <w:jc w:val="left"/>
              <w:textAlignment w:val="center"/>
              <w:rPr>
                <w:sz w:val="22"/>
                <w:szCs w:val="22"/>
              </w:rPr>
            </w:pPr>
            <w:r>
              <w:rPr>
                <w:rFonts w:hint="eastAsia" w:ascii="仿宋" w:hAnsi="仿宋" w:eastAsia="仿宋" w:cs="仿宋"/>
                <w:color w:val="000000"/>
                <w:kern w:val="0"/>
                <w:sz w:val="22"/>
                <w:szCs w:val="22"/>
                <w:lang w:bidi="ar"/>
              </w:rPr>
              <w:t>军事理论</w:t>
            </w:r>
          </w:p>
        </w:tc>
        <w:tc>
          <w:tcPr>
            <w:tcW w:w="851"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11020002</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2/36</w:t>
            </w:r>
          </w:p>
        </w:tc>
        <w:tc>
          <w:tcPr>
            <w:tcW w:w="726"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sz w:val="22"/>
                <w:szCs w:val="22"/>
              </w:rPr>
            </w:pPr>
            <w:r>
              <w:rPr>
                <w:rFonts w:hint="eastAsia" w:ascii="宋体" w:hAnsi="宋体" w:eastAsia="宋体" w:cs="宋体"/>
                <w:color w:val="000000"/>
                <w:kern w:val="0"/>
                <w:sz w:val="22"/>
                <w:szCs w:val="22"/>
                <w:lang w:bidi="ar"/>
              </w:rPr>
              <w:t>12</w:t>
            </w:r>
          </w:p>
        </w:tc>
        <w:tc>
          <w:tcPr>
            <w:tcW w:w="1485" w:type="pct"/>
            <w:vAlign w:val="center"/>
          </w:tcPr>
          <w:p>
            <w:pPr>
              <w:widowControl/>
              <w:snapToGrid w:val="0"/>
              <w:jc w:val="left"/>
              <w:textAlignment w:val="center"/>
              <w:rPr>
                <w:sz w:val="22"/>
                <w:szCs w:val="22"/>
              </w:rPr>
            </w:pPr>
            <w:r>
              <w:rPr>
                <w:rFonts w:hint="eastAsia" w:ascii="仿宋" w:hAnsi="仿宋" w:eastAsia="仿宋" w:cs="仿宋"/>
                <w:color w:val="000000"/>
                <w:kern w:val="0"/>
                <w:sz w:val="22"/>
                <w:szCs w:val="22"/>
                <w:lang w:bidi="ar"/>
              </w:rPr>
              <w:t>形势与政策（一）</w:t>
            </w:r>
          </w:p>
        </w:tc>
        <w:tc>
          <w:tcPr>
            <w:tcW w:w="851"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49020026</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0.33/8</w:t>
            </w:r>
          </w:p>
        </w:tc>
        <w:tc>
          <w:tcPr>
            <w:tcW w:w="726"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sz w:val="22"/>
                <w:szCs w:val="22"/>
              </w:rPr>
            </w:pPr>
            <w:r>
              <w:rPr>
                <w:rFonts w:hint="eastAsia" w:ascii="宋体" w:hAnsi="宋体" w:eastAsia="宋体" w:cs="宋体"/>
                <w:color w:val="000000"/>
                <w:kern w:val="0"/>
                <w:sz w:val="22"/>
                <w:szCs w:val="22"/>
                <w:lang w:bidi="ar"/>
              </w:rPr>
              <w:t>13</w:t>
            </w:r>
          </w:p>
        </w:tc>
        <w:tc>
          <w:tcPr>
            <w:tcW w:w="1485" w:type="pct"/>
            <w:vAlign w:val="center"/>
          </w:tcPr>
          <w:p>
            <w:pPr>
              <w:widowControl/>
              <w:snapToGrid w:val="0"/>
              <w:jc w:val="left"/>
              <w:textAlignment w:val="center"/>
              <w:rPr>
                <w:sz w:val="22"/>
                <w:szCs w:val="22"/>
              </w:rPr>
            </w:pPr>
            <w:r>
              <w:rPr>
                <w:rFonts w:hint="eastAsia" w:ascii="仿宋" w:hAnsi="仿宋" w:eastAsia="仿宋" w:cs="仿宋"/>
                <w:color w:val="000000"/>
                <w:kern w:val="0"/>
                <w:sz w:val="22"/>
                <w:szCs w:val="22"/>
                <w:lang w:bidi="ar"/>
              </w:rPr>
              <w:t>形势与政策（二）</w:t>
            </w:r>
          </w:p>
        </w:tc>
        <w:tc>
          <w:tcPr>
            <w:tcW w:w="851"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49020027</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0.33/8</w:t>
            </w:r>
          </w:p>
        </w:tc>
        <w:tc>
          <w:tcPr>
            <w:tcW w:w="726"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sz w:val="22"/>
                <w:szCs w:val="22"/>
              </w:rPr>
            </w:pPr>
            <w:r>
              <w:rPr>
                <w:rFonts w:hint="eastAsia" w:ascii="宋体" w:hAnsi="宋体" w:eastAsia="宋体" w:cs="宋体"/>
                <w:color w:val="000000"/>
                <w:kern w:val="0"/>
                <w:sz w:val="22"/>
                <w:szCs w:val="22"/>
                <w:lang w:bidi="ar"/>
              </w:rPr>
              <w:t>14</w:t>
            </w:r>
          </w:p>
        </w:tc>
        <w:tc>
          <w:tcPr>
            <w:tcW w:w="1485" w:type="pct"/>
            <w:vAlign w:val="center"/>
          </w:tcPr>
          <w:p>
            <w:pPr>
              <w:widowControl/>
              <w:snapToGrid w:val="0"/>
              <w:jc w:val="left"/>
              <w:textAlignment w:val="center"/>
              <w:rPr>
                <w:sz w:val="22"/>
                <w:szCs w:val="22"/>
              </w:rPr>
            </w:pPr>
            <w:r>
              <w:rPr>
                <w:rFonts w:hint="eastAsia" w:ascii="仿宋" w:hAnsi="仿宋" w:eastAsia="仿宋" w:cs="仿宋"/>
                <w:color w:val="000000"/>
                <w:kern w:val="0"/>
                <w:sz w:val="22"/>
                <w:szCs w:val="22"/>
                <w:lang w:bidi="ar"/>
              </w:rPr>
              <w:t>形势与政策（三）</w:t>
            </w:r>
          </w:p>
        </w:tc>
        <w:tc>
          <w:tcPr>
            <w:tcW w:w="851"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49020028</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0.33/8</w:t>
            </w:r>
          </w:p>
        </w:tc>
        <w:tc>
          <w:tcPr>
            <w:tcW w:w="726"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sz w:val="22"/>
                <w:szCs w:val="22"/>
              </w:rPr>
            </w:pPr>
            <w:r>
              <w:rPr>
                <w:rFonts w:hint="eastAsia" w:ascii="宋体" w:hAnsi="宋体" w:eastAsia="宋体" w:cs="宋体"/>
                <w:color w:val="000000"/>
                <w:kern w:val="0"/>
                <w:sz w:val="22"/>
                <w:szCs w:val="22"/>
                <w:lang w:bidi="ar"/>
              </w:rPr>
              <w:t>15</w:t>
            </w:r>
          </w:p>
        </w:tc>
        <w:tc>
          <w:tcPr>
            <w:tcW w:w="1485" w:type="pct"/>
            <w:vAlign w:val="center"/>
          </w:tcPr>
          <w:p>
            <w:pPr>
              <w:widowControl/>
              <w:snapToGrid w:val="0"/>
              <w:jc w:val="left"/>
              <w:textAlignment w:val="center"/>
              <w:rPr>
                <w:sz w:val="22"/>
                <w:szCs w:val="22"/>
              </w:rPr>
            </w:pPr>
            <w:r>
              <w:rPr>
                <w:rFonts w:hint="eastAsia" w:ascii="仿宋" w:hAnsi="仿宋" w:eastAsia="仿宋" w:cs="仿宋"/>
                <w:color w:val="000000"/>
                <w:kern w:val="0"/>
                <w:sz w:val="22"/>
                <w:szCs w:val="22"/>
                <w:lang w:bidi="ar"/>
              </w:rPr>
              <w:t>形势与政策（四）</w:t>
            </w:r>
          </w:p>
        </w:tc>
        <w:tc>
          <w:tcPr>
            <w:tcW w:w="851"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49020029</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0.33/8</w:t>
            </w:r>
          </w:p>
        </w:tc>
        <w:tc>
          <w:tcPr>
            <w:tcW w:w="726"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sz w:val="22"/>
                <w:szCs w:val="22"/>
              </w:rPr>
            </w:pPr>
            <w:r>
              <w:rPr>
                <w:rFonts w:hint="eastAsia" w:ascii="宋体" w:hAnsi="宋体" w:eastAsia="宋体" w:cs="宋体"/>
                <w:color w:val="000000"/>
                <w:kern w:val="0"/>
                <w:sz w:val="22"/>
                <w:szCs w:val="22"/>
                <w:lang w:bidi="ar"/>
              </w:rPr>
              <w:t>16</w:t>
            </w:r>
          </w:p>
        </w:tc>
        <w:tc>
          <w:tcPr>
            <w:tcW w:w="1485" w:type="pct"/>
            <w:vAlign w:val="center"/>
          </w:tcPr>
          <w:p>
            <w:pPr>
              <w:widowControl/>
              <w:snapToGrid w:val="0"/>
              <w:jc w:val="left"/>
              <w:textAlignment w:val="center"/>
              <w:rPr>
                <w:sz w:val="22"/>
                <w:szCs w:val="22"/>
              </w:rPr>
            </w:pPr>
            <w:r>
              <w:rPr>
                <w:rFonts w:hint="eastAsia" w:ascii="仿宋" w:hAnsi="仿宋" w:eastAsia="仿宋" w:cs="仿宋"/>
                <w:color w:val="000000"/>
                <w:kern w:val="0"/>
                <w:sz w:val="22"/>
                <w:szCs w:val="22"/>
                <w:lang w:bidi="ar"/>
              </w:rPr>
              <w:t>形势与政策（五）</w:t>
            </w:r>
          </w:p>
        </w:tc>
        <w:tc>
          <w:tcPr>
            <w:tcW w:w="851"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49020030</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0.33/8</w:t>
            </w:r>
          </w:p>
        </w:tc>
        <w:tc>
          <w:tcPr>
            <w:tcW w:w="726"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sz w:val="22"/>
                <w:szCs w:val="22"/>
              </w:rPr>
            </w:pPr>
            <w:r>
              <w:rPr>
                <w:rFonts w:hint="eastAsia" w:ascii="宋体" w:hAnsi="宋体" w:eastAsia="宋体" w:cs="宋体"/>
                <w:color w:val="000000"/>
                <w:kern w:val="0"/>
                <w:sz w:val="22"/>
                <w:szCs w:val="22"/>
                <w:lang w:bidi="ar"/>
              </w:rPr>
              <w:t>17</w:t>
            </w:r>
          </w:p>
        </w:tc>
        <w:tc>
          <w:tcPr>
            <w:tcW w:w="1485" w:type="pct"/>
            <w:vAlign w:val="center"/>
          </w:tcPr>
          <w:p>
            <w:pPr>
              <w:widowControl/>
              <w:snapToGrid w:val="0"/>
              <w:jc w:val="left"/>
              <w:textAlignment w:val="center"/>
              <w:rPr>
                <w:sz w:val="22"/>
                <w:szCs w:val="22"/>
              </w:rPr>
            </w:pPr>
            <w:r>
              <w:rPr>
                <w:rFonts w:hint="eastAsia" w:ascii="仿宋" w:hAnsi="仿宋" w:eastAsia="仿宋" w:cs="仿宋"/>
                <w:color w:val="000000"/>
                <w:kern w:val="0"/>
                <w:sz w:val="22"/>
                <w:szCs w:val="22"/>
                <w:lang w:bidi="ar"/>
              </w:rPr>
              <w:t>形势与政策（六）</w:t>
            </w:r>
          </w:p>
        </w:tc>
        <w:tc>
          <w:tcPr>
            <w:tcW w:w="851"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49020031</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0.33/8</w:t>
            </w:r>
          </w:p>
        </w:tc>
        <w:tc>
          <w:tcPr>
            <w:tcW w:w="726" w:type="pct"/>
            <w:vAlign w:val="center"/>
          </w:tcPr>
          <w:p>
            <w:pPr>
              <w:widowControl/>
              <w:snapToGrid w:val="0"/>
              <w:jc w:val="center"/>
              <w:textAlignment w:val="center"/>
              <w:rPr>
                <w:sz w:val="22"/>
                <w:szCs w:val="22"/>
              </w:rPr>
            </w:pPr>
            <w:r>
              <w:rPr>
                <w:rFonts w:hint="eastAsia" w:ascii="仿宋" w:hAnsi="仿宋" w:eastAsia="仿宋" w:cs="仿宋"/>
                <w:color w:val="000000"/>
                <w:kern w:val="0"/>
                <w:sz w:val="22"/>
                <w:szCs w:val="22"/>
                <w:lang w:bidi="ar"/>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color w:val="000000" w:themeColor="text1"/>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18</w:t>
            </w:r>
          </w:p>
        </w:tc>
        <w:tc>
          <w:tcPr>
            <w:tcW w:w="1485" w:type="pct"/>
            <w:vAlign w:val="center"/>
          </w:tcPr>
          <w:p>
            <w:pPr>
              <w:widowControl/>
              <w:snapToGrid w:val="0"/>
              <w:jc w:val="left"/>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思想道德与法治</w:t>
            </w:r>
          </w:p>
        </w:tc>
        <w:tc>
          <w:tcPr>
            <w:tcW w:w="851"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49020001</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3/48</w:t>
            </w:r>
          </w:p>
        </w:tc>
        <w:tc>
          <w:tcPr>
            <w:tcW w:w="726"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color w:val="000000" w:themeColor="text1"/>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19</w:t>
            </w:r>
          </w:p>
        </w:tc>
        <w:tc>
          <w:tcPr>
            <w:tcW w:w="1485" w:type="pct"/>
            <w:vAlign w:val="center"/>
          </w:tcPr>
          <w:p>
            <w:pPr>
              <w:widowControl/>
              <w:snapToGrid w:val="0"/>
              <w:jc w:val="left"/>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国家安全教育</w:t>
            </w:r>
          </w:p>
        </w:tc>
        <w:tc>
          <w:tcPr>
            <w:tcW w:w="851" w:type="pct"/>
            <w:vAlign w:val="center"/>
          </w:tcPr>
          <w:p>
            <w:pPr>
              <w:widowControl/>
              <w:snapToGrid w:val="0"/>
              <w:jc w:val="center"/>
              <w:textAlignment w:val="center"/>
              <w:rPr>
                <w:rFonts w:hint="eastAsia" w:hAnsiTheme="minorEastAsia" w:cstheme="minorEastAsia"/>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ascii="仿宋" w:hAnsi="仿宋" w:eastAsia="仿宋" w:cs="仿宋"/>
                <w:color w:val="000000" w:themeColor="text1"/>
                <w:kern w:val="0"/>
                <w:sz w:val="22"/>
                <w:szCs w:val="22"/>
                <w:lang w:bidi="ar"/>
                <w14:textFill>
                  <w14:solidFill>
                    <w14:schemeClr w14:val="tx1"/>
                  </w14:solidFill>
                </w14:textFill>
              </w:rPr>
              <w:t>49020020</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1.5/24</w:t>
            </w:r>
          </w:p>
        </w:tc>
        <w:tc>
          <w:tcPr>
            <w:tcW w:w="726"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color w:val="000000" w:themeColor="text1"/>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20</w:t>
            </w:r>
          </w:p>
        </w:tc>
        <w:tc>
          <w:tcPr>
            <w:tcW w:w="1485" w:type="pct"/>
            <w:vAlign w:val="center"/>
          </w:tcPr>
          <w:p>
            <w:pPr>
              <w:widowControl/>
              <w:snapToGrid w:val="0"/>
              <w:jc w:val="left"/>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毛泽东思想和中国特色社会主义理论体系概论</w:t>
            </w:r>
          </w:p>
        </w:tc>
        <w:tc>
          <w:tcPr>
            <w:tcW w:w="851" w:type="pct"/>
            <w:vAlign w:val="center"/>
          </w:tcPr>
          <w:p>
            <w:pPr>
              <w:widowControl/>
              <w:snapToGrid w:val="0"/>
              <w:jc w:val="center"/>
              <w:textAlignment w:val="center"/>
              <w:rPr>
                <w:rFonts w:hint="eastAsia" w:hAnsiTheme="minorEastAsia" w:cstheme="minorEastAsia"/>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49020033</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2/32</w:t>
            </w:r>
          </w:p>
        </w:tc>
        <w:tc>
          <w:tcPr>
            <w:tcW w:w="726"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color w:val="000000" w:themeColor="text1"/>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21</w:t>
            </w:r>
          </w:p>
        </w:tc>
        <w:tc>
          <w:tcPr>
            <w:tcW w:w="1485" w:type="pct"/>
            <w:vAlign w:val="center"/>
          </w:tcPr>
          <w:p>
            <w:pPr>
              <w:widowControl/>
              <w:snapToGrid w:val="0"/>
              <w:jc w:val="left"/>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习近平新时代中国特色社会主义思想概论</w:t>
            </w:r>
          </w:p>
        </w:tc>
        <w:tc>
          <w:tcPr>
            <w:tcW w:w="851" w:type="pct"/>
            <w:vAlign w:val="center"/>
          </w:tcPr>
          <w:p>
            <w:pPr>
              <w:widowControl/>
              <w:snapToGrid w:val="0"/>
              <w:jc w:val="center"/>
              <w:textAlignment w:val="center"/>
              <w:rPr>
                <w:rFonts w:hint="eastAsia" w:hAnsiTheme="minorEastAsia" w:cstheme="minorEastAsia"/>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49020005</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3/48</w:t>
            </w:r>
          </w:p>
        </w:tc>
        <w:tc>
          <w:tcPr>
            <w:tcW w:w="726"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color w:val="000000" w:themeColor="text1"/>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22</w:t>
            </w:r>
          </w:p>
        </w:tc>
        <w:tc>
          <w:tcPr>
            <w:tcW w:w="1485" w:type="pct"/>
            <w:vAlign w:val="center"/>
          </w:tcPr>
          <w:p>
            <w:pPr>
              <w:widowControl/>
              <w:snapToGrid w:val="0"/>
              <w:jc w:val="left"/>
              <w:textAlignment w:val="center"/>
              <w:rPr>
                <w:rFonts w:hint="eastAsia" w:hAnsiTheme="minorEastAsia" w:cstheme="minorEastAsia"/>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大学生心理健康教育（一）</w:t>
            </w:r>
          </w:p>
        </w:tc>
        <w:tc>
          <w:tcPr>
            <w:tcW w:w="851"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22020052</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1/16</w:t>
            </w:r>
          </w:p>
        </w:tc>
        <w:tc>
          <w:tcPr>
            <w:tcW w:w="726"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color w:val="000000" w:themeColor="text1"/>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23</w:t>
            </w:r>
          </w:p>
        </w:tc>
        <w:tc>
          <w:tcPr>
            <w:tcW w:w="1485" w:type="pct"/>
            <w:vAlign w:val="center"/>
          </w:tcPr>
          <w:p>
            <w:pPr>
              <w:widowControl/>
              <w:snapToGrid w:val="0"/>
              <w:jc w:val="left"/>
              <w:textAlignment w:val="center"/>
              <w:rPr>
                <w:rFonts w:hint="eastAsia" w:hAnsiTheme="minorEastAsia" w:cstheme="minorEastAsia"/>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大学生心理健康教育（二）</w:t>
            </w:r>
          </w:p>
        </w:tc>
        <w:tc>
          <w:tcPr>
            <w:tcW w:w="851"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22020053</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1/16</w:t>
            </w:r>
          </w:p>
        </w:tc>
        <w:tc>
          <w:tcPr>
            <w:tcW w:w="726"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color w:val="000000" w:themeColor="text1"/>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24</w:t>
            </w:r>
          </w:p>
        </w:tc>
        <w:tc>
          <w:tcPr>
            <w:tcW w:w="1485" w:type="pct"/>
            <w:vAlign w:val="center"/>
          </w:tcPr>
          <w:p>
            <w:pPr>
              <w:widowControl/>
              <w:snapToGrid w:val="0"/>
              <w:jc w:val="left"/>
              <w:textAlignment w:val="center"/>
              <w:rPr>
                <w:rFonts w:hint="eastAsia" w:hAnsiTheme="minorEastAsia" w:cstheme="minorEastAsia"/>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大学生职业发展与就业指导（一）</w:t>
            </w:r>
          </w:p>
        </w:tc>
        <w:tc>
          <w:tcPr>
            <w:tcW w:w="851"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22020054</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1/16</w:t>
            </w:r>
          </w:p>
        </w:tc>
        <w:tc>
          <w:tcPr>
            <w:tcW w:w="726"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color w:val="000000" w:themeColor="text1"/>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25</w:t>
            </w:r>
          </w:p>
        </w:tc>
        <w:tc>
          <w:tcPr>
            <w:tcW w:w="1485" w:type="pct"/>
            <w:vAlign w:val="center"/>
          </w:tcPr>
          <w:p>
            <w:pPr>
              <w:widowControl/>
              <w:snapToGrid w:val="0"/>
              <w:jc w:val="left"/>
              <w:textAlignment w:val="center"/>
              <w:rPr>
                <w:rFonts w:hint="eastAsia" w:hAnsiTheme="minorEastAsia" w:cstheme="minorEastAsia"/>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大学生创新与创业实务（一）</w:t>
            </w:r>
          </w:p>
        </w:tc>
        <w:tc>
          <w:tcPr>
            <w:tcW w:w="851"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22020056</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1/16</w:t>
            </w:r>
          </w:p>
        </w:tc>
        <w:tc>
          <w:tcPr>
            <w:tcW w:w="726"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color w:val="000000" w:themeColor="text1"/>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26</w:t>
            </w:r>
          </w:p>
        </w:tc>
        <w:tc>
          <w:tcPr>
            <w:tcW w:w="1485" w:type="pct"/>
            <w:vAlign w:val="center"/>
          </w:tcPr>
          <w:p>
            <w:pPr>
              <w:widowControl/>
              <w:snapToGrid w:val="0"/>
              <w:jc w:val="left"/>
              <w:textAlignment w:val="center"/>
              <w:rPr>
                <w:rFonts w:hint="eastAsia" w:hAnsiTheme="minorEastAsia" w:cstheme="minorEastAsia"/>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大学生职业发展与就业指导（二）</w:t>
            </w:r>
          </w:p>
        </w:tc>
        <w:tc>
          <w:tcPr>
            <w:tcW w:w="851"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22020055</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1/16</w:t>
            </w:r>
          </w:p>
        </w:tc>
        <w:tc>
          <w:tcPr>
            <w:tcW w:w="726"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color w:val="000000" w:themeColor="text1"/>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27</w:t>
            </w:r>
          </w:p>
        </w:tc>
        <w:tc>
          <w:tcPr>
            <w:tcW w:w="1485" w:type="pct"/>
            <w:vAlign w:val="center"/>
          </w:tcPr>
          <w:p>
            <w:pPr>
              <w:widowControl/>
              <w:snapToGrid w:val="0"/>
              <w:jc w:val="left"/>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大学生创新与创业实务（二）</w:t>
            </w:r>
          </w:p>
        </w:tc>
        <w:tc>
          <w:tcPr>
            <w:tcW w:w="851"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22020057</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1/16</w:t>
            </w:r>
          </w:p>
        </w:tc>
        <w:tc>
          <w:tcPr>
            <w:tcW w:w="726"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vAlign w:val="center"/>
          </w:tcPr>
          <w:p>
            <w:pPr>
              <w:widowControl/>
              <w:jc w:val="center"/>
              <w:textAlignment w:val="center"/>
              <w:rPr>
                <w:rFonts w:eastAsia="宋体" w:cs="Arial"/>
                <w:color w:val="000000" w:themeColor="text1"/>
                <w:kern w:val="0"/>
                <w:sz w:val="22"/>
                <w:szCs w:val="22"/>
                <w:lang w:bidi="ar"/>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28</w:t>
            </w:r>
          </w:p>
        </w:tc>
        <w:tc>
          <w:tcPr>
            <w:tcW w:w="1485" w:type="pct"/>
            <w:vAlign w:val="center"/>
          </w:tcPr>
          <w:p>
            <w:pPr>
              <w:widowControl/>
              <w:snapToGrid w:val="0"/>
              <w:jc w:val="left"/>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大学体育（一）</w:t>
            </w:r>
          </w:p>
        </w:tc>
        <w:tc>
          <w:tcPr>
            <w:tcW w:w="851"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22020058</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1.5/36</w:t>
            </w:r>
          </w:p>
        </w:tc>
        <w:tc>
          <w:tcPr>
            <w:tcW w:w="726"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vAlign w:val="center"/>
          </w:tcPr>
          <w:p>
            <w:pPr>
              <w:widowControl/>
              <w:jc w:val="center"/>
              <w:textAlignment w:val="center"/>
              <w:rPr>
                <w:rFonts w:eastAsia="宋体" w:cs="Arial"/>
                <w:color w:val="000000" w:themeColor="text1"/>
                <w:kern w:val="0"/>
                <w:sz w:val="22"/>
                <w:szCs w:val="22"/>
                <w:lang w:bidi="ar"/>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29</w:t>
            </w:r>
          </w:p>
        </w:tc>
        <w:tc>
          <w:tcPr>
            <w:tcW w:w="1485" w:type="pct"/>
            <w:vAlign w:val="center"/>
          </w:tcPr>
          <w:p>
            <w:pPr>
              <w:widowControl/>
              <w:snapToGrid w:val="0"/>
              <w:jc w:val="left"/>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大学体育（二）</w:t>
            </w:r>
          </w:p>
        </w:tc>
        <w:tc>
          <w:tcPr>
            <w:tcW w:w="851"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22020059</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1.5/36</w:t>
            </w:r>
          </w:p>
        </w:tc>
        <w:tc>
          <w:tcPr>
            <w:tcW w:w="726"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vAlign w:val="center"/>
          </w:tcPr>
          <w:p>
            <w:pPr>
              <w:widowControl/>
              <w:jc w:val="center"/>
              <w:textAlignment w:val="center"/>
              <w:rPr>
                <w:rFonts w:eastAsia="宋体" w:cs="Arial"/>
                <w:color w:val="000000" w:themeColor="text1"/>
                <w:kern w:val="0"/>
                <w:sz w:val="22"/>
                <w:szCs w:val="22"/>
                <w:lang w:bidi="ar"/>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30</w:t>
            </w:r>
          </w:p>
        </w:tc>
        <w:tc>
          <w:tcPr>
            <w:tcW w:w="1485" w:type="pct"/>
            <w:vAlign w:val="center"/>
          </w:tcPr>
          <w:p>
            <w:pPr>
              <w:widowControl/>
              <w:snapToGrid w:val="0"/>
              <w:jc w:val="left"/>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大学体育（三）</w:t>
            </w:r>
          </w:p>
        </w:tc>
        <w:tc>
          <w:tcPr>
            <w:tcW w:w="851"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22020060</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1.5/36</w:t>
            </w:r>
          </w:p>
        </w:tc>
        <w:tc>
          <w:tcPr>
            <w:tcW w:w="726"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vAlign w:val="center"/>
          </w:tcPr>
          <w:p>
            <w:pPr>
              <w:widowControl/>
              <w:jc w:val="center"/>
              <w:textAlignment w:val="center"/>
              <w:rPr>
                <w:color w:val="000000" w:themeColor="text1"/>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31</w:t>
            </w:r>
          </w:p>
        </w:tc>
        <w:tc>
          <w:tcPr>
            <w:tcW w:w="1485" w:type="pct"/>
            <w:vAlign w:val="center"/>
          </w:tcPr>
          <w:p>
            <w:pPr>
              <w:widowControl/>
              <w:snapToGrid w:val="0"/>
              <w:jc w:val="left"/>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大学体育（四）</w:t>
            </w:r>
          </w:p>
        </w:tc>
        <w:tc>
          <w:tcPr>
            <w:tcW w:w="851"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22020061</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1.5/36</w:t>
            </w:r>
          </w:p>
        </w:tc>
        <w:tc>
          <w:tcPr>
            <w:tcW w:w="726"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color w:val="000000" w:themeColor="text1"/>
                <w:sz w:val="22"/>
                <w:szCs w:val="22"/>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32</w:t>
            </w:r>
          </w:p>
        </w:tc>
        <w:tc>
          <w:tcPr>
            <w:tcW w:w="1485" w:type="pct"/>
            <w:vAlign w:val="center"/>
          </w:tcPr>
          <w:p>
            <w:pPr>
              <w:widowControl/>
              <w:snapToGrid w:val="0"/>
              <w:jc w:val="left"/>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大学英语（一）</w:t>
            </w:r>
          </w:p>
        </w:tc>
        <w:tc>
          <w:tcPr>
            <w:tcW w:w="851"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22020062</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3/48</w:t>
            </w:r>
          </w:p>
        </w:tc>
        <w:tc>
          <w:tcPr>
            <w:tcW w:w="726" w:type="pct"/>
            <w:vAlign w:val="center"/>
          </w:tcPr>
          <w:p>
            <w:pPr>
              <w:widowControl/>
              <w:snapToGrid w:val="0"/>
              <w:jc w:val="center"/>
              <w:textAlignment w:val="center"/>
              <w:rPr>
                <w:rFonts w:eastAsia="仿宋_GB2312"/>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jc w:val="center"/>
        </w:trPr>
        <w:tc>
          <w:tcPr>
            <w:tcW w:w="447" w:type="pct"/>
            <w:vAlign w:val="center"/>
          </w:tcPr>
          <w:p>
            <w:pPr>
              <w:widowControl/>
              <w:jc w:val="center"/>
              <w:textAlignment w:val="center"/>
              <w:rPr>
                <w:rFonts w:hint="eastAsia" w:ascii="宋体" w:hAnsi="宋体" w:eastAsia="宋体" w:cs="宋体"/>
                <w:color w:val="000000" w:themeColor="text1"/>
                <w:kern w:val="0"/>
                <w:sz w:val="22"/>
                <w:szCs w:val="22"/>
                <w:lang w:bidi="ar"/>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33</w:t>
            </w:r>
          </w:p>
        </w:tc>
        <w:tc>
          <w:tcPr>
            <w:tcW w:w="1485" w:type="pct"/>
            <w:vAlign w:val="center"/>
          </w:tcPr>
          <w:p>
            <w:pPr>
              <w:widowControl/>
              <w:snapToGrid w:val="0"/>
              <w:jc w:val="left"/>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大学英语（二）</w:t>
            </w:r>
          </w:p>
        </w:tc>
        <w:tc>
          <w:tcPr>
            <w:tcW w:w="851"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22020063</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3/48</w:t>
            </w:r>
          </w:p>
        </w:tc>
        <w:tc>
          <w:tcPr>
            <w:tcW w:w="726"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 w:hRule="atLeast"/>
          <w:jc w:val="center"/>
        </w:trPr>
        <w:tc>
          <w:tcPr>
            <w:tcW w:w="447" w:type="pct"/>
            <w:vAlign w:val="center"/>
          </w:tcPr>
          <w:p>
            <w:pPr>
              <w:widowControl/>
              <w:jc w:val="center"/>
              <w:textAlignment w:val="center"/>
              <w:rPr>
                <w:rFonts w:hint="eastAsia" w:ascii="宋体" w:hAnsi="宋体" w:eastAsia="宋体" w:cs="宋体"/>
                <w:color w:val="000000" w:themeColor="text1"/>
                <w:kern w:val="0"/>
                <w:sz w:val="22"/>
                <w:szCs w:val="22"/>
                <w:lang w:bidi="ar"/>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34</w:t>
            </w:r>
          </w:p>
        </w:tc>
        <w:tc>
          <w:tcPr>
            <w:tcW w:w="1485" w:type="pct"/>
            <w:vAlign w:val="center"/>
          </w:tcPr>
          <w:p>
            <w:pPr>
              <w:widowControl/>
              <w:snapToGrid w:val="0"/>
              <w:jc w:val="left"/>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信息技术</w:t>
            </w:r>
          </w:p>
        </w:tc>
        <w:tc>
          <w:tcPr>
            <w:tcW w:w="851"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17020066</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3/48</w:t>
            </w:r>
          </w:p>
        </w:tc>
        <w:tc>
          <w:tcPr>
            <w:tcW w:w="726" w:type="pct"/>
            <w:vAlign w:val="center"/>
          </w:tcPr>
          <w:p>
            <w:pPr>
              <w:pStyle w:val="39"/>
              <w:snapToGrid w:val="0"/>
              <w:jc w:val="center"/>
              <w:rPr>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rFonts w:hint="eastAsia" w:ascii="宋体" w:hAnsi="宋体" w:eastAsia="宋体" w:cs="宋体"/>
                <w:color w:val="000000" w:themeColor="text1"/>
                <w:kern w:val="0"/>
                <w:sz w:val="22"/>
                <w:szCs w:val="22"/>
                <w:lang w:bidi="ar"/>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35</w:t>
            </w:r>
          </w:p>
        </w:tc>
        <w:tc>
          <w:tcPr>
            <w:tcW w:w="1485" w:type="pct"/>
            <w:vAlign w:val="center"/>
          </w:tcPr>
          <w:p>
            <w:pPr>
              <w:widowControl/>
              <w:snapToGrid w:val="0"/>
              <w:jc w:val="left"/>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艺术修养</w:t>
            </w:r>
          </w:p>
        </w:tc>
        <w:tc>
          <w:tcPr>
            <w:tcW w:w="851"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21020001</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2/32</w:t>
            </w:r>
          </w:p>
        </w:tc>
        <w:tc>
          <w:tcPr>
            <w:tcW w:w="726" w:type="pct"/>
            <w:vAlign w:val="center"/>
          </w:tcPr>
          <w:p>
            <w:pPr>
              <w:pStyle w:val="39"/>
              <w:snapToGrid w:val="0"/>
              <w:jc w:val="center"/>
              <w:rPr>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rFonts w:hint="eastAsia" w:ascii="宋体" w:hAnsi="宋体" w:eastAsia="宋体" w:cs="宋体"/>
                <w:color w:val="000000" w:themeColor="text1"/>
                <w:kern w:val="0"/>
                <w:sz w:val="22"/>
                <w:szCs w:val="22"/>
                <w:lang w:bidi="ar"/>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36</w:t>
            </w:r>
          </w:p>
        </w:tc>
        <w:tc>
          <w:tcPr>
            <w:tcW w:w="1485" w:type="pct"/>
            <w:vAlign w:val="center"/>
          </w:tcPr>
          <w:p>
            <w:pPr>
              <w:widowControl/>
              <w:snapToGrid w:val="0"/>
              <w:jc w:val="left"/>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人工智能应用基础</w:t>
            </w:r>
          </w:p>
        </w:tc>
        <w:tc>
          <w:tcPr>
            <w:tcW w:w="851"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17020002</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2/32</w:t>
            </w:r>
          </w:p>
        </w:tc>
        <w:tc>
          <w:tcPr>
            <w:tcW w:w="726" w:type="pct"/>
            <w:vAlign w:val="center"/>
          </w:tcPr>
          <w:p>
            <w:pPr>
              <w:pStyle w:val="39"/>
              <w:snapToGrid w:val="0"/>
              <w:jc w:val="center"/>
              <w:rPr>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rFonts w:hint="eastAsia" w:ascii="宋体" w:hAnsi="宋体" w:eastAsia="宋体" w:cs="宋体"/>
                <w:color w:val="000000" w:themeColor="text1"/>
                <w:kern w:val="0"/>
                <w:sz w:val="22"/>
                <w:szCs w:val="22"/>
                <w:lang w:bidi="ar"/>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37</w:t>
            </w:r>
          </w:p>
        </w:tc>
        <w:tc>
          <w:tcPr>
            <w:tcW w:w="1485" w:type="pct"/>
            <w:vAlign w:val="center"/>
          </w:tcPr>
          <w:p>
            <w:pPr>
              <w:widowControl/>
              <w:snapToGrid w:val="0"/>
              <w:jc w:val="left"/>
              <w:textAlignment w:val="center"/>
              <w:rPr>
                <w:rFonts w:hint="eastAsia" w:ascii="仿宋" w:hAnsi="仿宋" w:eastAsia="仿宋" w:cs="仿宋"/>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精益生产与管理基础</w:t>
            </w:r>
          </w:p>
        </w:tc>
        <w:tc>
          <w:tcPr>
            <w:tcW w:w="851" w:type="pct"/>
            <w:vAlign w:val="center"/>
          </w:tcPr>
          <w:p>
            <w:pPr>
              <w:widowControl/>
              <w:snapToGrid w:val="0"/>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公共必修课</w:t>
            </w:r>
          </w:p>
        </w:tc>
        <w:tc>
          <w:tcPr>
            <w:tcW w:w="741"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20029999</w:t>
            </w:r>
          </w:p>
        </w:tc>
        <w:tc>
          <w:tcPr>
            <w:tcW w:w="747" w:type="pct"/>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1/16</w:t>
            </w:r>
          </w:p>
        </w:tc>
        <w:tc>
          <w:tcPr>
            <w:tcW w:w="726" w:type="pct"/>
            <w:vAlign w:val="center"/>
          </w:tcPr>
          <w:p>
            <w:pPr>
              <w:pStyle w:val="39"/>
              <w:snapToGrid w:val="0"/>
              <w:jc w:val="center"/>
              <w:rPr>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rFonts w:hint="eastAsia" w:ascii="宋体" w:hAnsi="宋体" w:eastAsia="宋体" w:cs="宋体"/>
                <w:color w:val="000000" w:themeColor="text1"/>
                <w:kern w:val="0"/>
                <w:sz w:val="22"/>
                <w:szCs w:val="22"/>
                <w:lang w:bidi="ar"/>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38</w:t>
            </w:r>
          </w:p>
        </w:tc>
        <w:tc>
          <w:tcPr>
            <w:tcW w:w="1485" w:type="pct"/>
            <w:vAlign w:val="center"/>
          </w:tcPr>
          <w:p>
            <w:pPr>
              <w:widowControl/>
              <w:jc w:val="left"/>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中国共产党简史、社会主义发展史、新中国史、改革开放史</w:t>
            </w:r>
          </w:p>
        </w:tc>
        <w:tc>
          <w:tcPr>
            <w:tcW w:w="851" w:type="pct"/>
            <w:vAlign w:val="center"/>
          </w:tcPr>
          <w:p>
            <w:pPr>
              <w:widowControl/>
              <w:snapToGrid w:val="0"/>
              <w:jc w:val="center"/>
              <w:textAlignment w:val="center"/>
              <w:rPr>
                <w:rFonts w:ascii="Times New Roman" w:hAnsi="Times New Roman" w:eastAsia="仿宋_GB2312" w:cs="Times New Roman"/>
                <w:color w:val="000000" w:themeColor="text1"/>
                <w:sz w:val="22"/>
                <w:szCs w:val="22"/>
                <w14:textFill>
                  <w14:solidFill>
                    <w14:schemeClr w14:val="tx1"/>
                  </w14:solidFill>
                </w14:textFill>
              </w:rPr>
            </w:pPr>
            <w:r>
              <w:rPr>
                <w:rFonts w:hint="eastAsia" w:ascii="仿宋" w:hAnsi="仿宋" w:eastAsia="仿宋" w:cs="仿宋"/>
                <w:color w:val="000000"/>
                <w:kern w:val="0"/>
                <w:sz w:val="22"/>
                <w:szCs w:val="22"/>
                <w:lang w:bidi="ar"/>
              </w:rPr>
              <w:t>公共选修课</w:t>
            </w:r>
          </w:p>
        </w:tc>
        <w:tc>
          <w:tcPr>
            <w:tcW w:w="120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49020019</w:t>
            </w:r>
          </w:p>
        </w:tc>
        <w:tc>
          <w:tcPr>
            <w:tcW w:w="12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1/16</w:t>
            </w:r>
          </w:p>
        </w:tc>
        <w:tc>
          <w:tcPr>
            <w:tcW w:w="1176" w:type="dxa"/>
            <w:vAlign w:val="center"/>
          </w:tcPr>
          <w:p>
            <w:pPr>
              <w:widowControl/>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rFonts w:hint="eastAsia" w:ascii="宋体" w:hAnsi="宋体" w:eastAsia="宋体" w:cs="宋体"/>
                <w:color w:val="000000" w:themeColor="text1"/>
                <w:kern w:val="0"/>
                <w:sz w:val="22"/>
                <w:szCs w:val="22"/>
                <w:lang w:bidi="ar"/>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39</w:t>
            </w:r>
          </w:p>
        </w:tc>
        <w:tc>
          <w:tcPr>
            <w:tcW w:w="1485" w:type="pct"/>
            <w:vAlign w:val="center"/>
          </w:tcPr>
          <w:p>
            <w:pPr>
              <w:widowControl/>
              <w:jc w:val="left"/>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中国优秀传统文化</w:t>
            </w:r>
          </w:p>
        </w:tc>
        <w:tc>
          <w:tcPr>
            <w:tcW w:w="1378" w:type="dxa"/>
            <w:vAlign w:val="center"/>
          </w:tcPr>
          <w:p>
            <w:pPr>
              <w:widowControl/>
              <w:snapToGrid w:val="0"/>
              <w:jc w:val="center"/>
              <w:textAlignment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公共选修课</w:t>
            </w:r>
          </w:p>
        </w:tc>
        <w:tc>
          <w:tcPr>
            <w:tcW w:w="120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22020070</w:t>
            </w:r>
          </w:p>
        </w:tc>
        <w:tc>
          <w:tcPr>
            <w:tcW w:w="12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1/16</w:t>
            </w:r>
          </w:p>
        </w:tc>
        <w:tc>
          <w:tcPr>
            <w:tcW w:w="1176" w:type="dxa"/>
            <w:vAlign w:val="center"/>
          </w:tcPr>
          <w:p>
            <w:pPr>
              <w:widowControl/>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rFonts w:hint="eastAsia" w:ascii="宋体" w:hAnsi="宋体" w:eastAsia="宋体" w:cs="宋体"/>
                <w:color w:val="000000" w:themeColor="text1"/>
                <w:kern w:val="0"/>
                <w:sz w:val="22"/>
                <w:szCs w:val="22"/>
                <w:lang w:bidi="ar"/>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40</w:t>
            </w:r>
          </w:p>
        </w:tc>
        <w:tc>
          <w:tcPr>
            <w:tcW w:w="1485" w:type="pct"/>
            <w:vAlign w:val="center"/>
          </w:tcPr>
          <w:p>
            <w:pPr>
              <w:widowControl/>
              <w:jc w:val="left"/>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通用礼仪</w:t>
            </w:r>
          </w:p>
        </w:tc>
        <w:tc>
          <w:tcPr>
            <w:tcW w:w="1378" w:type="dxa"/>
            <w:vAlign w:val="center"/>
          </w:tcPr>
          <w:p>
            <w:pPr>
              <w:widowControl/>
              <w:snapToGrid w:val="0"/>
              <w:jc w:val="center"/>
              <w:textAlignment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公共选修课</w:t>
            </w:r>
          </w:p>
        </w:tc>
        <w:tc>
          <w:tcPr>
            <w:tcW w:w="120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22020022</w:t>
            </w:r>
          </w:p>
        </w:tc>
        <w:tc>
          <w:tcPr>
            <w:tcW w:w="12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1/16</w:t>
            </w:r>
          </w:p>
        </w:tc>
        <w:tc>
          <w:tcPr>
            <w:tcW w:w="1176" w:type="dxa"/>
            <w:vAlign w:val="center"/>
          </w:tcPr>
          <w:p>
            <w:pPr>
              <w:widowControl/>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pPr>
              <w:widowControl/>
              <w:jc w:val="center"/>
              <w:textAlignment w:val="center"/>
              <w:rPr>
                <w:rFonts w:hint="eastAsia" w:ascii="宋体" w:hAnsi="宋体" w:eastAsia="宋体" w:cs="宋体"/>
                <w:color w:val="000000" w:themeColor="text1"/>
                <w:kern w:val="0"/>
                <w:sz w:val="22"/>
                <w:szCs w:val="22"/>
                <w:lang w:bidi="ar"/>
                <w14:textFill>
                  <w14:solidFill>
                    <w14:schemeClr w14:val="tx1"/>
                  </w14:solidFill>
                </w14:textFill>
              </w:rPr>
            </w:pPr>
            <w:r>
              <w:rPr>
                <w:rFonts w:hint="eastAsia" w:ascii="宋体" w:hAnsi="宋体" w:eastAsia="宋体" w:cs="宋体"/>
                <w:color w:val="000000" w:themeColor="text1"/>
                <w:kern w:val="0"/>
                <w:sz w:val="22"/>
                <w:szCs w:val="22"/>
                <w:lang w:bidi="ar"/>
                <w14:textFill>
                  <w14:solidFill>
                    <w14:schemeClr w14:val="tx1"/>
                  </w14:solidFill>
                </w14:textFill>
              </w:rPr>
              <w:t>41</w:t>
            </w:r>
          </w:p>
        </w:tc>
        <w:tc>
          <w:tcPr>
            <w:tcW w:w="1485" w:type="pct"/>
            <w:vAlign w:val="center"/>
          </w:tcPr>
          <w:p>
            <w:pPr>
              <w:widowControl/>
              <w:jc w:val="left"/>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应用文写作</w:t>
            </w:r>
          </w:p>
        </w:tc>
        <w:tc>
          <w:tcPr>
            <w:tcW w:w="1378" w:type="dxa"/>
            <w:vAlign w:val="center"/>
          </w:tcPr>
          <w:p>
            <w:pPr>
              <w:widowControl/>
              <w:snapToGrid w:val="0"/>
              <w:jc w:val="center"/>
              <w:textAlignment w:val="center"/>
              <w:rPr>
                <w:rFonts w:hint="eastAsia" w:ascii="仿宋" w:hAnsi="仿宋" w:eastAsia="仿宋" w:cs="仿宋"/>
                <w:color w:val="000000"/>
                <w:kern w:val="0"/>
                <w:sz w:val="22"/>
                <w:szCs w:val="22"/>
                <w:lang w:bidi="ar"/>
              </w:rPr>
            </w:pPr>
            <w:r>
              <w:rPr>
                <w:rFonts w:hint="eastAsia" w:ascii="仿宋" w:hAnsi="仿宋" w:eastAsia="仿宋" w:cs="仿宋"/>
                <w:color w:val="000000"/>
                <w:kern w:val="0"/>
                <w:sz w:val="22"/>
                <w:szCs w:val="22"/>
                <w:lang w:bidi="ar"/>
              </w:rPr>
              <w:t>公共选修课</w:t>
            </w:r>
          </w:p>
        </w:tc>
        <w:tc>
          <w:tcPr>
            <w:tcW w:w="120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22020071</w:t>
            </w:r>
          </w:p>
        </w:tc>
        <w:tc>
          <w:tcPr>
            <w:tcW w:w="12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1/16</w:t>
            </w:r>
          </w:p>
        </w:tc>
        <w:tc>
          <w:tcPr>
            <w:tcW w:w="1176" w:type="dxa"/>
            <w:vAlign w:val="center"/>
          </w:tcPr>
          <w:p>
            <w:pPr>
              <w:widowControl/>
              <w:jc w:val="center"/>
              <w:textAlignment w:val="center"/>
              <w:rPr>
                <w:color w:val="000000" w:themeColor="text1"/>
                <w:sz w:val="22"/>
                <w:szCs w:val="22"/>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w:t>
            </w:r>
          </w:p>
        </w:tc>
      </w:tr>
    </w:tbl>
    <w:p>
      <w:pPr>
        <w:pStyle w:val="4"/>
        <w:spacing w:line="240" w:lineRule="auto"/>
        <w:ind w:firstLine="560"/>
        <w:rPr>
          <w:rFonts w:hint="eastAsia" w:ascii="宋体" w:hAnsi="宋体" w:eastAsia="宋体" w:cs="宋体"/>
          <w:bCs/>
          <w:szCs w:val="21"/>
        </w:rPr>
      </w:pPr>
    </w:p>
    <w:p>
      <w:pPr>
        <w:pStyle w:val="4"/>
        <w:spacing w:line="240" w:lineRule="auto"/>
        <w:ind w:firstLine="560"/>
        <w:rPr>
          <w:rFonts w:hint="eastAsia" w:ascii="宋体" w:hAnsi="宋体" w:eastAsia="宋体" w:cs="宋体"/>
          <w:bCs/>
          <w:szCs w:val="21"/>
        </w:rPr>
      </w:pPr>
      <w:r>
        <w:rPr>
          <w:rFonts w:hint="eastAsia" w:ascii="宋体" w:hAnsi="宋体" w:eastAsia="宋体" w:cs="宋体"/>
          <w:bCs/>
          <w:szCs w:val="21"/>
        </w:rPr>
        <w:t>2. 专业教育课程安排</w:t>
      </w:r>
    </w:p>
    <w:p>
      <w:pPr>
        <w:pStyle w:val="40"/>
        <w:rPr>
          <w:rFonts w:ascii="Times New Roman" w:hAnsi="Times New Roman" w:eastAsia="仿宋_GB2312" w:cs="Times New Roman"/>
          <w:sz w:val="24"/>
        </w:rPr>
      </w:pPr>
      <w:r>
        <w:rPr>
          <w:rFonts w:hint="eastAsia" w:ascii="Times New Roman" w:hAnsi="Times New Roman" w:eastAsia="仿宋_GB2312" w:cs="Times New Roman"/>
          <w:sz w:val="24"/>
        </w:rPr>
        <w:t>表7-2 专业教育课程安排表</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1"/>
        <w:gridCol w:w="2910"/>
        <w:gridCol w:w="1111"/>
        <w:gridCol w:w="1178"/>
        <w:gridCol w:w="1178"/>
        <w:gridCol w:w="11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731" w:type="dxa"/>
            <w:vAlign w:val="center"/>
          </w:tcPr>
          <w:p>
            <w:pPr>
              <w:spacing w:line="280" w:lineRule="exact"/>
              <w:jc w:val="center"/>
              <w:rPr>
                <w:rFonts w:hint="eastAsia" w:ascii="仿宋_GB2312" w:hAnsi="仿宋_GB2312" w:eastAsia="仿宋_GB2312" w:cs="仿宋_GB2312"/>
                <w:b/>
                <w:bCs/>
                <w:color w:val="000000" w:themeColor="text1"/>
                <w:szCs w:val="16"/>
                <w14:textFill>
                  <w14:solidFill>
                    <w14:schemeClr w14:val="tx1"/>
                  </w14:solidFill>
                </w14:textFill>
              </w:rPr>
            </w:pPr>
            <w:r>
              <w:rPr>
                <w:rFonts w:hint="eastAsia" w:ascii="仿宋_GB2312" w:hAnsi="仿宋_GB2312" w:eastAsia="仿宋_GB2312" w:cs="仿宋_GB2312"/>
                <w:b/>
                <w:bCs/>
                <w:color w:val="000000" w:themeColor="text1"/>
                <w:szCs w:val="16"/>
                <w14:textFill>
                  <w14:solidFill>
                    <w14:schemeClr w14:val="tx1"/>
                  </w14:solidFill>
                </w14:textFill>
              </w:rPr>
              <w:t>序号</w:t>
            </w:r>
          </w:p>
        </w:tc>
        <w:tc>
          <w:tcPr>
            <w:tcW w:w="2910" w:type="dxa"/>
            <w:vAlign w:val="center"/>
          </w:tcPr>
          <w:p>
            <w:pPr>
              <w:spacing w:line="280" w:lineRule="exact"/>
              <w:jc w:val="center"/>
              <w:rPr>
                <w:rFonts w:hint="eastAsia" w:ascii="仿宋_GB2312" w:hAnsi="仿宋_GB2312" w:eastAsia="仿宋_GB2312" w:cs="仿宋_GB2312"/>
                <w:b/>
                <w:bCs/>
                <w:color w:val="000000" w:themeColor="text1"/>
                <w:szCs w:val="16"/>
                <w14:textFill>
                  <w14:solidFill>
                    <w14:schemeClr w14:val="tx1"/>
                  </w14:solidFill>
                </w14:textFill>
              </w:rPr>
            </w:pPr>
            <w:r>
              <w:rPr>
                <w:rFonts w:hint="eastAsia" w:ascii="仿宋_GB2312" w:hAnsi="仿宋_GB2312" w:eastAsia="仿宋_GB2312" w:cs="仿宋_GB2312"/>
                <w:b/>
                <w:bCs/>
                <w:color w:val="000000" w:themeColor="text1"/>
                <w:szCs w:val="16"/>
                <w14:textFill>
                  <w14:solidFill>
                    <w14:schemeClr w14:val="tx1"/>
                  </w14:solidFill>
                </w14:textFill>
              </w:rPr>
              <w:t>课程名称</w:t>
            </w:r>
          </w:p>
        </w:tc>
        <w:tc>
          <w:tcPr>
            <w:tcW w:w="1111" w:type="dxa"/>
            <w:vAlign w:val="center"/>
          </w:tcPr>
          <w:p>
            <w:pPr>
              <w:spacing w:line="280" w:lineRule="exact"/>
              <w:jc w:val="center"/>
              <w:rPr>
                <w:rFonts w:hint="eastAsia" w:ascii="仿宋_GB2312" w:hAnsi="仿宋_GB2312" w:eastAsia="仿宋_GB2312" w:cs="仿宋_GB2312"/>
                <w:b/>
                <w:bCs/>
                <w:color w:val="000000" w:themeColor="text1"/>
                <w:szCs w:val="16"/>
                <w14:textFill>
                  <w14:solidFill>
                    <w14:schemeClr w14:val="tx1"/>
                  </w14:solidFill>
                </w14:textFill>
              </w:rPr>
            </w:pPr>
            <w:r>
              <w:rPr>
                <w:rFonts w:hint="eastAsia" w:ascii="仿宋_GB2312" w:hAnsi="仿宋_GB2312" w:eastAsia="仿宋_GB2312" w:cs="仿宋_GB2312"/>
                <w:b/>
                <w:bCs/>
                <w:color w:val="000000" w:themeColor="text1"/>
                <w:szCs w:val="16"/>
                <w14:textFill>
                  <w14:solidFill>
                    <w14:schemeClr w14:val="tx1"/>
                  </w14:solidFill>
                </w14:textFill>
              </w:rPr>
              <w:t>课程性质</w:t>
            </w:r>
          </w:p>
        </w:tc>
        <w:tc>
          <w:tcPr>
            <w:tcW w:w="1178" w:type="dxa"/>
            <w:vAlign w:val="center"/>
          </w:tcPr>
          <w:p>
            <w:pPr>
              <w:spacing w:line="280" w:lineRule="exact"/>
              <w:jc w:val="center"/>
              <w:rPr>
                <w:rFonts w:hint="eastAsia" w:ascii="仿宋_GB2312" w:hAnsi="仿宋_GB2312" w:eastAsia="仿宋_GB2312" w:cs="仿宋_GB2312"/>
                <w:b/>
                <w:bCs/>
                <w:color w:val="000000" w:themeColor="text1"/>
                <w:szCs w:val="16"/>
                <w14:textFill>
                  <w14:solidFill>
                    <w14:schemeClr w14:val="tx1"/>
                  </w14:solidFill>
                </w14:textFill>
              </w:rPr>
            </w:pPr>
            <w:r>
              <w:rPr>
                <w:rFonts w:hint="eastAsia" w:ascii="仿宋_GB2312" w:hAnsi="仿宋_GB2312" w:eastAsia="仿宋_GB2312" w:cs="仿宋_GB2312"/>
                <w:b/>
                <w:bCs/>
                <w:color w:val="000000" w:themeColor="text1"/>
                <w:szCs w:val="16"/>
                <w14:textFill>
                  <w14:solidFill>
                    <w14:schemeClr w14:val="tx1"/>
                  </w14:solidFill>
                </w14:textFill>
              </w:rPr>
              <w:t>课程代码</w:t>
            </w:r>
          </w:p>
        </w:tc>
        <w:tc>
          <w:tcPr>
            <w:tcW w:w="1178" w:type="dxa"/>
            <w:vAlign w:val="center"/>
          </w:tcPr>
          <w:p>
            <w:pPr>
              <w:spacing w:line="280" w:lineRule="exact"/>
              <w:jc w:val="center"/>
              <w:rPr>
                <w:rFonts w:hint="eastAsia" w:ascii="仿宋_GB2312" w:hAnsi="仿宋_GB2312" w:eastAsia="仿宋_GB2312" w:cs="仿宋_GB2312"/>
                <w:b/>
                <w:bCs/>
                <w:color w:val="000000" w:themeColor="text1"/>
                <w:szCs w:val="16"/>
                <w14:textFill>
                  <w14:solidFill>
                    <w14:schemeClr w14:val="tx1"/>
                  </w14:solidFill>
                </w14:textFill>
              </w:rPr>
            </w:pPr>
            <w:r>
              <w:rPr>
                <w:rFonts w:hint="eastAsia" w:ascii="仿宋_GB2312" w:hAnsi="仿宋_GB2312" w:eastAsia="仿宋_GB2312" w:cs="仿宋_GB2312"/>
                <w:b/>
                <w:bCs/>
                <w:color w:val="000000" w:themeColor="text1"/>
                <w:szCs w:val="16"/>
                <w14:textFill>
                  <w14:solidFill>
                    <w14:schemeClr w14:val="tx1"/>
                  </w14:solidFill>
                </w14:textFill>
              </w:rPr>
              <w:t>学分/学时</w:t>
            </w:r>
          </w:p>
        </w:tc>
        <w:tc>
          <w:tcPr>
            <w:tcW w:w="1163" w:type="dxa"/>
            <w:vAlign w:val="center"/>
          </w:tcPr>
          <w:p>
            <w:pPr>
              <w:spacing w:line="280" w:lineRule="exact"/>
              <w:jc w:val="center"/>
              <w:rPr>
                <w:rFonts w:hint="eastAsia" w:ascii="仿宋_GB2312" w:hAnsi="仿宋_GB2312" w:eastAsia="仿宋_GB2312" w:cs="仿宋_GB2312"/>
                <w:b/>
                <w:bCs/>
                <w:color w:val="000000" w:themeColor="text1"/>
                <w:szCs w:val="16"/>
                <w14:textFill>
                  <w14:solidFill>
                    <w14:schemeClr w14:val="tx1"/>
                  </w14:solidFill>
                </w14:textFill>
              </w:rPr>
            </w:pPr>
            <w:r>
              <w:rPr>
                <w:rFonts w:hint="eastAsia" w:ascii="仿宋_GB2312" w:hAnsi="仿宋_GB2312" w:eastAsia="仿宋_GB2312" w:cs="仿宋_GB2312"/>
                <w:b/>
                <w:bCs/>
                <w:color w:val="000000" w:themeColor="text1"/>
                <w:szCs w:val="16"/>
                <w14:textFill>
                  <w14:solidFill>
                    <w14:schemeClr w14:val="tx1"/>
                  </w14:solidFill>
                </w14:textFill>
              </w:rPr>
              <w:t>开设学期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入学教育与专业入门</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20020555</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1/16</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经济数学</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22020066</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2/32</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概率论与数理统计</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22020068</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3/48</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国际贸易实务</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20021035</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4/64</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5</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跨境</w:t>
            </w:r>
            <w:r>
              <w:rPr>
                <w:rFonts w:hint="eastAsia" w:ascii="仿宋" w:hAnsi="仿宋" w:eastAsia="仿宋" w:cs="仿宋"/>
                <w:color w:val="000000" w:themeColor="text1"/>
                <w:kern w:val="0"/>
                <w:sz w:val="22"/>
                <w:szCs w:val="22"/>
                <w:lang w:val="en-US" w:eastAsia="zh-CN" w:bidi="ar"/>
                <w14:textFill>
                  <w14:solidFill>
                    <w14:schemeClr w14:val="tx1"/>
                  </w14:solidFill>
                </w14:textFill>
              </w:rPr>
              <w:t>电商</w:t>
            </w:r>
            <w:r>
              <w:rPr>
                <w:rFonts w:hint="eastAsia" w:ascii="仿宋" w:hAnsi="仿宋" w:eastAsia="仿宋" w:cs="仿宋"/>
                <w:color w:val="000000" w:themeColor="text1"/>
                <w:kern w:val="0"/>
                <w:sz w:val="22"/>
                <w:szCs w:val="22"/>
                <w:lang w:bidi="ar"/>
                <w14:textFill>
                  <w14:solidFill>
                    <w14:schemeClr w14:val="tx1"/>
                  </w14:solidFill>
                </w14:textFill>
              </w:rPr>
              <w:t>基础</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20021002</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2/32</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6</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管理学</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20021003</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2/32</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7</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经济学</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20021004</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2/32</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8</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东盟语言基础</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20021005</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3/48</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9</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跨境电商法律法规</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20021006</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2/32</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10</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跨境电商英语</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20021007</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4/64</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11</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消费心理学</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20021008</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2/32</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12</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跨境平台店铺运营与管理</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20021009</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5/80</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13</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跨境电商产品开发</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20021010</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3/48</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14</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跨境电商数字营销</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20021011</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4/64</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15</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跨境电商数据分析</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20021012</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4/64</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16</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跨境电商客户管理</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20021013</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2/32</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17</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产品视觉营销设计</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20021014</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4/64</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18</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跨境电商物流与关务</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20021015</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3/48</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19</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跨境采购与供应链管理</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20021016</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3/48</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跨境短视频营销</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20021017</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4/64</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21</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跨境直播营销</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20021018</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3/48</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22</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跨境电商独立站运营</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20021020</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3/48</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课程设计1：Amazon店铺运营</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20021021</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1/30</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24</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课程设计2：客户沟通与服务</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20021022</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1/30</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25</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课程设计3：AIGC多语种内容生成</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20021023</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1/30</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26</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课程设计4：跨境整合营销与推广</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20021024</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1/30</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27</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毕业设计</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20020777</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5/120</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28</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综合实践</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20020888</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8/240</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29</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岗位实习</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20020999</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8/240</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30</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劳动教育-工业匠心</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必修课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20020666</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1/32</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31</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汽车基础知识</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选修课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20021001</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2/32</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32</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汽车产品海外新媒体推广</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选修课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20021026</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2/32</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33</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东盟贸易地理</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选修课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20021027</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2/32</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34</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东盟区域文化</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选修课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20021028</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2/32</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35</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汽车产业新技术新趋势</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选修课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20021029</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1/16</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36</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跨境贸易风险管理</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选修课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20021030</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2/32</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37</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eastAsia="zh-CN" w:bidi="ar"/>
                <w14:textFill>
                  <w14:solidFill>
                    <w14:schemeClr w14:val="tx1"/>
                  </w14:solidFill>
                </w14:textFill>
              </w:rPr>
              <w:t>Python</w:t>
            </w:r>
            <w:r>
              <w:rPr>
                <w:rFonts w:hint="eastAsia" w:ascii="仿宋" w:hAnsi="仿宋" w:eastAsia="仿宋" w:cs="仿宋"/>
                <w:color w:val="000000" w:themeColor="text1"/>
                <w:kern w:val="0"/>
                <w:sz w:val="22"/>
                <w:szCs w:val="22"/>
                <w:lang w:bidi="ar"/>
                <w14:textFill>
                  <w14:solidFill>
                    <w14:schemeClr w14:val="tx1"/>
                  </w14:solidFill>
                </w14:textFill>
              </w:rPr>
              <w:t>应用基础</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选修课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20021036</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2/32</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38</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AI数字内容生成</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选修课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20021037</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2/32</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39</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东盟商务礼仪</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选修课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20021033</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2/32</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3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40</w:t>
            </w:r>
          </w:p>
        </w:tc>
        <w:tc>
          <w:tcPr>
            <w:tcW w:w="2910"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跨境品牌推广</w:t>
            </w:r>
          </w:p>
        </w:tc>
        <w:tc>
          <w:tcPr>
            <w:tcW w:w="1111"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选修课</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20021034</w:t>
            </w:r>
          </w:p>
        </w:tc>
        <w:tc>
          <w:tcPr>
            <w:tcW w:w="1178"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2/32</w:t>
            </w:r>
          </w:p>
        </w:tc>
        <w:tc>
          <w:tcPr>
            <w:tcW w:w="1163" w:type="dxa"/>
            <w:vAlign w:val="center"/>
          </w:tcPr>
          <w:p>
            <w:pPr>
              <w:widowControl/>
              <w:jc w:val="center"/>
              <w:textAlignment w:val="center"/>
              <w:rPr>
                <w:rFonts w:hint="eastAsia" w:ascii="仿宋" w:hAnsi="仿宋" w:eastAsia="仿宋" w:cs="仿宋"/>
                <w:color w:val="000000" w:themeColor="text1"/>
                <w:kern w:val="0"/>
                <w:sz w:val="22"/>
                <w:szCs w:val="22"/>
                <w:lang w:bidi="ar"/>
                <w14:textFill>
                  <w14:solidFill>
                    <w14:schemeClr w14:val="tx1"/>
                  </w14:solidFill>
                </w14:textFill>
              </w:rPr>
            </w:pPr>
            <w:r>
              <w:rPr>
                <w:rFonts w:hint="eastAsia" w:ascii="仿宋" w:hAnsi="仿宋" w:eastAsia="仿宋" w:cs="仿宋"/>
                <w:color w:val="000000" w:themeColor="text1"/>
                <w:kern w:val="0"/>
                <w:sz w:val="22"/>
                <w:szCs w:val="22"/>
                <w:lang w:bidi="ar"/>
                <w14:textFill>
                  <w14:solidFill>
                    <w14:schemeClr w14:val="tx1"/>
                  </w14:solidFill>
                </w14:textFill>
              </w:rPr>
              <w:t>6</w:t>
            </w:r>
          </w:p>
        </w:tc>
      </w:tr>
    </w:tbl>
    <w:p>
      <w:pPr>
        <w:pStyle w:val="3"/>
        <w:spacing w:line="440" w:lineRule="exact"/>
        <w:ind w:firstLine="440" w:firstLineChars="200"/>
        <w:rPr>
          <w:rFonts w:hint="eastAsia" w:ascii="仿宋_GB2312" w:hAnsi="仿宋_GB2312" w:eastAsia="仿宋_GB2312" w:cs="仿宋_GB2312"/>
          <w:b w:val="0"/>
          <w:bCs/>
          <w:sz w:val="22"/>
          <w:szCs w:val="28"/>
        </w:rPr>
      </w:pPr>
      <w:r>
        <w:rPr>
          <w:rFonts w:hint="eastAsia" w:ascii="仿宋_GB2312" w:hAnsi="仿宋_GB2312" w:eastAsia="仿宋_GB2312" w:cs="仿宋_GB2312"/>
          <w:b w:val="0"/>
          <w:bCs/>
          <w:sz w:val="22"/>
          <w:szCs w:val="28"/>
        </w:rPr>
        <w:t>注：限定选修课（含通识限定选修课、专业限定选修课）学生应修读并获得相应学分。</w:t>
      </w:r>
    </w:p>
    <w:p>
      <w:pPr>
        <w:pStyle w:val="3"/>
        <w:ind w:firstLine="562" w:firstLineChars="200"/>
        <w:rPr>
          <w:rFonts w:hint="eastAsia" w:ascii="仿宋_GB2312" w:hAnsi="仿宋_GB2312" w:eastAsia="仿宋_GB2312" w:cs="仿宋_GB2312"/>
          <w:sz w:val="28"/>
          <w:szCs w:val="36"/>
        </w:rPr>
      </w:pPr>
      <w:r>
        <w:rPr>
          <w:rFonts w:hint="eastAsia" w:ascii="仿宋_GB2312" w:hAnsi="仿宋_GB2312" w:eastAsia="仿宋_GB2312" w:cs="仿宋_GB2312"/>
          <w:sz w:val="28"/>
          <w:szCs w:val="36"/>
        </w:rPr>
        <w:t>（四）第二课堂活动安排</w:t>
      </w:r>
      <w:bookmarkEnd w:id="18"/>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1.通识教育模块第二课堂活动安排</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（详见“十、附录  （二）第二课堂活动安排”）</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2.专业教育模块第二课堂活动安排</w:t>
      </w:r>
    </w:p>
    <w:p>
      <w:pPr>
        <w:pStyle w:val="7"/>
        <w:jc w:val="center"/>
        <w:rPr>
          <w:rFonts w:hint="eastAsia" w:ascii="仿宋" w:hAnsi="仿宋" w:eastAsia="仿宋" w:cs="仿宋"/>
          <w:b/>
          <w:bCs/>
          <w:sz w:val="24"/>
          <w:szCs w:val="24"/>
        </w:rPr>
      </w:pPr>
      <w:r>
        <w:rPr>
          <w:rFonts w:hint="eastAsia" w:ascii="仿宋" w:hAnsi="仿宋" w:eastAsia="仿宋" w:cs="仿宋"/>
          <w:b/>
          <w:bCs/>
          <w:sz w:val="24"/>
          <w:szCs w:val="24"/>
        </w:rPr>
        <w:t>表7-3 专业教育模块第二课堂活动安排表</w:t>
      </w:r>
    </w:p>
    <w:tbl>
      <w:tblPr>
        <w:tblStyle w:val="16"/>
        <w:tblW w:w="88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0"/>
        <w:gridCol w:w="1929"/>
        <w:gridCol w:w="610"/>
        <w:gridCol w:w="548"/>
        <w:gridCol w:w="548"/>
        <w:gridCol w:w="548"/>
        <w:gridCol w:w="548"/>
        <w:gridCol w:w="548"/>
        <w:gridCol w:w="548"/>
        <w:gridCol w:w="548"/>
        <w:gridCol w:w="435"/>
        <w:gridCol w:w="12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0" w:type="dxa"/>
            <w:vMerge w:val="restart"/>
            <w:vAlign w:val="center"/>
          </w:tcPr>
          <w:p>
            <w:pPr>
              <w:pStyle w:val="3"/>
              <w:jc w:val="center"/>
              <w:rPr>
                <w:rFonts w:hint="eastAsia" w:ascii="仿宋_GB2312" w:hAnsi="仿宋_GB2312" w:eastAsia="仿宋_GB2312" w:cs="仿宋_GB2312"/>
                <w:sz w:val="24"/>
              </w:rPr>
            </w:pPr>
            <w:bookmarkStart w:id="21" w:name="_Toc0"/>
            <w:bookmarkStart w:id="22" w:name="_Toc4696"/>
            <w:r>
              <w:rPr>
                <w:rFonts w:hint="eastAsia" w:ascii="仿宋_GB2312" w:hAnsi="仿宋_GB2312" w:eastAsia="仿宋_GB2312" w:cs="仿宋_GB2312"/>
                <w:sz w:val="24"/>
              </w:rPr>
              <w:t>序号</w:t>
            </w:r>
            <w:bookmarkEnd w:id="21"/>
            <w:bookmarkEnd w:id="22"/>
          </w:p>
        </w:tc>
        <w:tc>
          <w:tcPr>
            <w:tcW w:w="1929" w:type="dxa"/>
            <w:vMerge w:val="restart"/>
            <w:vAlign w:val="center"/>
          </w:tcPr>
          <w:p>
            <w:pPr>
              <w:pStyle w:val="3"/>
              <w:jc w:val="center"/>
              <w:rPr>
                <w:rFonts w:hint="eastAsia" w:ascii="仿宋_GB2312" w:hAnsi="仿宋_GB2312" w:eastAsia="仿宋_GB2312" w:cs="仿宋_GB2312"/>
                <w:sz w:val="24"/>
              </w:rPr>
            </w:pPr>
            <w:bookmarkStart w:id="23" w:name="_Toc28053"/>
            <w:bookmarkStart w:id="24" w:name="_Toc10937"/>
            <w:r>
              <w:rPr>
                <w:rFonts w:hint="eastAsia" w:ascii="仿宋_GB2312" w:hAnsi="仿宋_GB2312" w:eastAsia="仿宋_GB2312" w:cs="仿宋_GB2312"/>
                <w:sz w:val="24"/>
              </w:rPr>
              <w:t>活动名称</w:t>
            </w:r>
            <w:bookmarkEnd w:id="23"/>
            <w:bookmarkEnd w:id="24"/>
          </w:p>
        </w:tc>
        <w:tc>
          <w:tcPr>
            <w:tcW w:w="610" w:type="dxa"/>
            <w:vMerge w:val="restart"/>
            <w:vAlign w:val="center"/>
          </w:tcPr>
          <w:p>
            <w:pPr>
              <w:pStyle w:val="3"/>
              <w:jc w:val="center"/>
              <w:rPr>
                <w:rFonts w:hint="eastAsia" w:ascii="仿宋_GB2312" w:hAnsi="仿宋_GB2312" w:eastAsia="仿宋_GB2312" w:cs="仿宋_GB2312"/>
                <w:sz w:val="24"/>
              </w:rPr>
            </w:pPr>
            <w:bookmarkStart w:id="25" w:name="_Toc23007"/>
            <w:bookmarkStart w:id="26" w:name="_Toc21917"/>
            <w:r>
              <w:rPr>
                <w:rFonts w:hint="eastAsia" w:ascii="仿宋_GB2312" w:hAnsi="仿宋_GB2312" w:eastAsia="仿宋_GB2312" w:cs="仿宋_GB2312"/>
                <w:sz w:val="24"/>
              </w:rPr>
              <w:t>活动分</w:t>
            </w:r>
            <w:bookmarkEnd w:id="25"/>
            <w:bookmarkEnd w:id="26"/>
          </w:p>
        </w:tc>
        <w:tc>
          <w:tcPr>
            <w:tcW w:w="4271" w:type="dxa"/>
            <w:gridSpan w:val="8"/>
            <w:vAlign w:val="center"/>
          </w:tcPr>
          <w:p>
            <w:pPr>
              <w:pStyle w:val="3"/>
              <w:jc w:val="center"/>
              <w:rPr>
                <w:rFonts w:hint="eastAsia" w:ascii="仿宋_GB2312" w:hAnsi="仿宋_GB2312" w:eastAsia="仿宋_GB2312" w:cs="仿宋_GB2312"/>
                <w:sz w:val="24"/>
              </w:rPr>
            </w:pPr>
            <w:bookmarkStart w:id="27" w:name="_Toc9657"/>
            <w:bookmarkStart w:id="28" w:name="_Toc31724"/>
            <w:r>
              <w:rPr>
                <w:rFonts w:hint="eastAsia" w:ascii="仿宋_GB2312" w:hAnsi="仿宋_GB2312" w:eastAsia="仿宋_GB2312" w:cs="仿宋_GB2312"/>
                <w:sz w:val="24"/>
              </w:rPr>
              <w:t>学期安排</w:t>
            </w:r>
            <w:bookmarkEnd w:id="27"/>
            <w:bookmarkEnd w:id="28"/>
          </w:p>
        </w:tc>
        <w:tc>
          <w:tcPr>
            <w:tcW w:w="1289" w:type="dxa"/>
            <w:vMerge w:val="restart"/>
            <w:vAlign w:val="center"/>
          </w:tcPr>
          <w:p>
            <w:pPr>
              <w:pStyle w:val="3"/>
              <w:jc w:val="center"/>
              <w:rPr>
                <w:rFonts w:hint="eastAsia" w:ascii="仿宋_GB2312" w:hAnsi="仿宋_GB2312" w:eastAsia="仿宋_GB2312" w:cs="仿宋_GB2312"/>
                <w:sz w:val="24"/>
              </w:rPr>
            </w:pPr>
            <w:bookmarkStart w:id="29" w:name="_Toc3833"/>
            <w:bookmarkStart w:id="30" w:name="_Toc31866"/>
            <w:r>
              <w:rPr>
                <w:rFonts w:hint="eastAsia" w:ascii="仿宋_GB2312" w:hAnsi="仿宋_GB2312" w:eastAsia="仿宋_GB2312" w:cs="仿宋_GB2312"/>
                <w:sz w:val="24"/>
              </w:rPr>
              <w:t>组织实施部门</w:t>
            </w:r>
            <w:bookmarkEnd w:id="29"/>
            <w:bookmarkEnd w:id="3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0" w:type="dxa"/>
            <w:vMerge w:val="continue"/>
            <w:vAlign w:val="center"/>
          </w:tcPr>
          <w:p>
            <w:pPr>
              <w:pStyle w:val="3"/>
              <w:jc w:val="center"/>
              <w:rPr>
                <w:rFonts w:hint="eastAsia" w:ascii="仿宋_GB2312" w:hAnsi="仿宋_GB2312" w:eastAsia="仿宋_GB2312" w:cs="仿宋_GB2312"/>
                <w:sz w:val="24"/>
              </w:rPr>
            </w:pPr>
          </w:p>
        </w:tc>
        <w:tc>
          <w:tcPr>
            <w:tcW w:w="1929" w:type="dxa"/>
            <w:vMerge w:val="continue"/>
            <w:vAlign w:val="center"/>
          </w:tcPr>
          <w:p>
            <w:pPr>
              <w:pStyle w:val="3"/>
              <w:jc w:val="center"/>
              <w:rPr>
                <w:rFonts w:hint="eastAsia" w:ascii="仿宋_GB2312" w:hAnsi="仿宋_GB2312" w:eastAsia="仿宋_GB2312" w:cs="仿宋_GB2312"/>
                <w:sz w:val="24"/>
              </w:rPr>
            </w:pPr>
          </w:p>
        </w:tc>
        <w:tc>
          <w:tcPr>
            <w:tcW w:w="610" w:type="dxa"/>
            <w:vMerge w:val="continue"/>
            <w:vAlign w:val="center"/>
          </w:tcPr>
          <w:p>
            <w:pPr>
              <w:pStyle w:val="3"/>
              <w:jc w:val="center"/>
              <w:rPr>
                <w:rFonts w:hint="eastAsia" w:ascii="仿宋_GB2312" w:hAnsi="仿宋_GB2312" w:eastAsia="仿宋_GB2312" w:cs="仿宋_GB2312"/>
                <w:sz w:val="24"/>
              </w:rPr>
            </w:pPr>
          </w:p>
        </w:tc>
        <w:tc>
          <w:tcPr>
            <w:tcW w:w="548" w:type="dxa"/>
            <w:vAlign w:val="center"/>
          </w:tcPr>
          <w:p>
            <w:pPr>
              <w:pStyle w:val="3"/>
              <w:jc w:val="center"/>
              <w:rPr>
                <w:rFonts w:hint="eastAsia" w:ascii="仿宋_GB2312" w:hAnsi="仿宋_GB2312" w:eastAsia="仿宋_GB2312" w:cs="仿宋_GB2312"/>
                <w:sz w:val="24"/>
              </w:rPr>
            </w:pPr>
            <w:bookmarkStart w:id="31" w:name="_Toc17387"/>
            <w:bookmarkStart w:id="32" w:name="_Toc4898"/>
            <w:r>
              <w:rPr>
                <w:rFonts w:hint="eastAsia" w:ascii="仿宋_GB2312" w:hAnsi="仿宋_GB2312" w:eastAsia="仿宋_GB2312" w:cs="仿宋_GB2312"/>
                <w:sz w:val="24"/>
              </w:rPr>
              <w:t>1</w:t>
            </w:r>
            <w:bookmarkEnd w:id="31"/>
            <w:bookmarkEnd w:id="32"/>
          </w:p>
        </w:tc>
        <w:tc>
          <w:tcPr>
            <w:tcW w:w="548" w:type="dxa"/>
            <w:vAlign w:val="center"/>
          </w:tcPr>
          <w:p>
            <w:pPr>
              <w:pStyle w:val="3"/>
              <w:jc w:val="center"/>
              <w:rPr>
                <w:rFonts w:hint="eastAsia" w:ascii="仿宋_GB2312" w:hAnsi="仿宋_GB2312" w:eastAsia="仿宋_GB2312" w:cs="仿宋_GB2312"/>
                <w:sz w:val="24"/>
              </w:rPr>
            </w:pPr>
            <w:bookmarkStart w:id="33" w:name="_Toc5098"/>
            <w:bookmarkStart w:id="34" w:name="_Toc26535"/>
            <w:r>
              <w:rPr>
                <w:rFonts w:hint="eastAsia" w:ascii="仿宋_GB2312" w:hAnsi="仿宋_GB2312" w:eastAsia="仿宋_GB2312" w:cs="仿宋_GB2312"/>
                <w:sz w:val="24"/>
              </w:rPr>
              <w:t>2</w:t>
            </w:r>
            <w:bookmarkEnd w:id="33"/>
            <w:bookmarkEnd w:id="34"/>
          </w:p>
        </w:tc>
        <w:tc>
          <w:tcPr>
            <w:tcW w:w="548" w:type="dxa"/>
            <w:vAlign w:val="center"/>
          </w:tcPr>
          <w:p>
            <w:pPr>
              <w:pStyle w:val="3"/>
              <w:jc w:val="center"/>
              <w:rPr>
                <w:rFonts w:hint="eastAsia" w:ascii="仿宋_GB2312" w:hAnsi="仿宋_GB2312" w:eastAsia="仿宋_GB2312" w:cs="仿宋_GB2312"/>
                <w:sz w:val="24"/>
              </w:rPr>
            </w:pPr>
            <w:bookmarkStart w:id="35" w:name="_Toc23100"/>
            <w:bookmarkStart w:id="36" w:name="_Toc14005"/>
            <w:r>
              <w:rPr>
                <w:rFonts w:hint="eastAsia" w:ascii="仿宋_GB2312" w:hAnsi="仿宋_GB2312" w:eastAsia="仿宋_GB2312" w:cs="仿宋_GB2312"/>
                <w:sz w:val="24"/>
              </w:rPr>
              <w:t>3</w:t>
            </w:r>
            <w:bookmarkEnd w:id="35"/>
            <w:bookmarkEnd w:id="36"/>
          </w:p>
        </w:tc>
        <w:tc>
          <w:tcPr>
            <w:tcW w:w="548" w:type="dxa"/>
            <w:vAlign w:val="center"/>
          </w:tcPr>
          <w:p>
            <w:pPr>
              <w:pStyle w:val="3"/>
              <w:jc w:val="center"/>
              <w:rPr>
                <w:rFonts w:hint="eastAsia" w:ascii="仿宋_GB2312" w:hAnsi="仿宋_GB2312" w:eastAsia="仿宋_GB2312" w:cs="仿宋_GB2312"/>
                <w:sz w:val="24"/>
              </w:rPr>
            </w:pPr>
            <w:bookmarkStart w:id="37" w:name="_Toc24949"/>
            <w:bookmarkStart w:id="38" w:name="_Toc7154"/>
            <w:r>
              <w:rPr>
                <w:rFonts w:hint="eastAsia" w:ascii="仿宋_GB2312" w:hAnsi="仿宋_GB2312" w:eastAsia="仿宋_GB2312" w:cs="仿宋_GB2312"/>
                <w:sz w:val="24"/>
              </w:rPr>
              <w:t>4</w:t>
            </w:r>
            <w:bookmarkEnd w:id="37"/>
            <w:bookmarkEnd w:id="38"/>
          </w:p>
        </w:tc>
        <w:tc>
          <w:tcPr>
            <w:tcW w:w="548" w:type="dxa"/>
            <w:vAlign w:val="center"/>
          </w:tcPr>
          <w:p>
            <w:pPr>
              <w:pStyle w:val="3"/>
              <w:jc w:val="center"/>
              <w:rPr>
                <w:rFonts w:hint="eastAsia" w:ascii="仿宋_GB2312" w:hAnsi="仿宋_GB2312" w:eastAsia="仿宋_GB2312" w:cs="仿宋_GB2312"/>
                <w:sz w:val="24"/>
              </w:rPr>
            </w:pPr>
            <w:bookmarkStart w:id="39" w:name="_Toc3262"/>
            <w:bookmarkStart w:id="40" w:name="_Toc1383"/>
            <w:r>
              <w:rPr>
                <w:rFonts w:hint="eastAsia" w:ascii="仿宋_GB2312" w:hAnsi="仿宋_GB2312" w:eastAsia="仿宋_GB2312" w:cs="仿宋_GB2312"/>
                <w:sz w:val="24"/>
              </w:rPr>
              <w:t>5</w:t>
            </w:r>
            <w:bookmarkEnd w:id="39"/>
            <w:bookmarkEnd w:id="40"/>
          </w:p>
        </w:tc>
        <w:tc>
          <w:tcPr>
            <w:tcW w:w="548" w:type="dxa"/>
            <w:vAlign w:val="center"/>
          </w:tcPr>
          <w:p>
            <w:pPr>
              <w:pStyle w:val="3"/>
              <w:jc w:val="center"/>
              <w:rPr>
                <w:rFonts w:hint="eastAsia" w:ascii="仿宋_GB2312" w:hAnsi="仿宋_GB2312" w:eastAsia="仿宋_GB2312" w:cs="仿宋_GB2312"/>
                <w:sz w:val="24"/>
              </w:rPr>
            </w:pPr>
            <w:bookmarkStart w:id="41" w:name="_Toc10542"/>
            <w:bookmarkStart w:id="42" w:name="_Toc31943"/>
            <w:r>
              <w:rPr>
                <w:rFonts w:hint="eastAsia" w:ascii="仿宋_GB2312" w:hAnsi="仿宋_GB2312" w:eastAsia="仿宋_GB2312" w:cs="仿宋_GB2312"/>
                <w:sz w:val="24"/>
              </w:rPr>
              <w:t>6</w:t>
            </w:r>
            <w:bookmarkEnd w:id="41"/>
            <w:bookmarkEnd w:id="42"/>
          </w:p>
        </w:tc>
        <w:tc>
          <w:tcPr>
            <w:tcW w:w="548" w:type="dxa"/>
            <w:vAlign w:val="center"/>
          </w:tcPr>
          <w:p>
            <w:pPr>
              <w:pStyle w:val="3"/>
              <w:jc w:val="center"/>
              <w:rPr>
                <w:rFonts w:hint="eastAsia" w:ascii="仿宋_GB2312" w:hAnsi="仿宋_GB2312" w:eastAsia="仿宋_GB2312" w:cs="仿宋_GB2312"/>
                <w:sz w:val="24"/>
              </w:rPr>
            </w:pPr>
            <w:bookmarkStart w:id="43" w:name="_Toc30928"/>
            <w:bookmarkStart w:id="44" w:name="_Toc23156"/>
            <w:r>
              <w:rPr>
                <w:rFonts w:hint="eastAsia" w:ascii="仿宋_GB2312" w:hAnsi="仿宋_GB2312" w:eastAsia="仿宋_GB2312" w:cs="仿宋_GB2312"/>
                <w:sz w:val="24"/>
              </w:rPr>
              <w:t>7</w:t>
            </w:r>
            <w:bookmarkEnd w:id="43"/>
            <w:bookmarkEnd w:id="44"/>
          </w:p>
        </w:tc>
        <w:tc>
          <w:tcPr>
            <w:tcW w:w="435" w:type="dxa"/>
            <w:vAlign w:val="center"/>
          </w:tcPr>
          <w:p>
            <w:pPr>
              <w:pStyle w:val="3"/>
              <w:jc w:val="center"/>
              <w:rPr>
                <w:rFonts w:hint="eastAsia" w:ascii="仿宋_GB2312" w:hAnsi="仿宋_GB2312" w:eastAsia="仿宋_GB2312" w:cs="仿宋_GB2312"/>
                <w:sz w:val="24"/>
              </w:rPr>
            </w:pPr>
            <w:bookmarkStart w:id="45" w:name="_Toc20095"/>
            <w:bookmarkStart w:id="46" w:name="_Toc9716"/>
            <w:r>
              <w:rPr>
                <w:rFonts w:hint="eastAsia" w:ascii="仿宋_GB2312" w:hAnsi="仿宋_GB2312" w:eastAsia="仿宋_GB2312" w:cs="仿宋_GB2312"/>
                <w:sz w:val="24"/>
              </w:rPr>
              <w:t>8</w:t>
            </w:r>
            <w:bookmarkEnd w:id="45"/>
            <w:bookmarkEnd w:id="46"/>
          </w:p>
        </w:tc>
        <w:tc>
          <w:tcPr>
            <w:tcW w:w="1289" w:type="dxa"/>
            <w:vMerge w:val="continue"/>
            <w:vAlign w:val="center"/>
          </w:tcPr>
          <w:p>
            <w:pPr>
              <w:pStyle w:val="3"/>
              <w:jc w:val="center"/>
              <w:rPr>
                <w:rFonts w:hint="eastAsia"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750" w:type="dxa"/>
            <w:vAlign w:val="center"/>
          </w:tcPr>
          <w:p>
            <w:pPr>
              <w:pStyle w:val="21"/>
              <w:spacing w:before="159" w:after="159" w:line="240" w:lineRule="auto"/>
              <w:jc w:val="center"/>
              <w:rPr>
                <w:rFonts w:hint="eastAsia" w:ascii="仿宋_GB2312" w:hAnsi="仿宋_GB2312" w:eastAsia="仿宋_GB2312" w:cs="仿宋_GB2312"/>
                <w:bCs/>
              </w:rPr>
            </w:pPr>
            <w:r>
              <w:rPr>
                <w:rFonts w:hint="eastAsia" w:ascii="仿宋" w:hAnsi="仿宋" w:eastAsia="仿宋" w:cs="仿宋"/>
              </w:rPr>
              <w:t>1</w:t>
            </w:r>
          </w:p>
        </w:tc>
        <w:tc>
          <w:tcPr>
            <w:tcW w:w="1929" w:type="dxa"/>
            <w:vAlign w:val="center"/>
          </w:tcPr>
          <w:p>
            <w:pPr>
              <w:jc w:val="center"/>
              <w:rPr>
                <w:rFonts w:hint="eastAsia" w:ascii="仿宋_GB2312" w:hAnsi="仿宋_GB2312" w:eastAsia="仿宋_GB2312" w:cs="仿宋_GB2312"/>
                <w:bCs/>
              </w:rPr>
            </w:pPr>
            <w:r>
              <w:rPr>
                <w:rFonts w:hint="eastAsia" w:ascii="仿宋" w:hAnsi="仿宋" w:eastAsia="仿宋" w:cs="仿宋"/>
              </w:rPr>
              <w:t>东盟外语角活动</w:t>
            </w:r>
          </w:p>
        </w:tc>
        <w:tc>
          <w:tcPr>
            <w:tcW w:w="610" w:type="dxa"/>
            <w:vAlign w:val="center"/>
          </w:tcPr>
          <w:p>
            <w:pPr>
              <w:pStyle w:val="21"/>
              <w:spacing w:before="159" w:after="159" w:line="240" w:lineRule="auto"/>
              <w:jc w:val="center"/>
              <w:rPr>
                <w:rFonts w:hint="eastAsia" w:ascii="仿宋_GB2312" w:hAnsi="仿宋_GB2312" w:eastAsia="仿宋_GB2312" w:cs="仿宋_GB2312"/>
                <w:bCs/>
              </w:rPr>
            </w:pPr>
            <w:r>
              <w:rPr>
                <w:rFonts w:hint="eastAsia" w:ascii="仿宋" w:hAnsi="仿宋" w:eastAsia="仿宋" w:cs="仿宋"/>
              </w:rPr>
              <w:t>4</w:t>
            </w:r>
          </w:p>
        </w:tc>
        <w:tc>
          <w:tcPr>
            <w:tcW w:w="548" w:type="dxa"/>
            <w:vAlign w:val="center"/>
          </w:tcPr>
          <w:p>
            <w:pPr>
              <w:jc w:val="center"/>
              <w:rPr>
                <w:rFonts w:hint="eastAsia" w:ascii="仿宋_GB2312" w:hAnsi="仿宋_GB2312" w:eastAsia="仿宋_GB2312" w:cs="仿宋_GB2312"/>
                <w:bCs/>
              </w:rPr>
            </w:pPr>
            <w:r>
              <w:rPr>
                <w:rFonts w:hint="eastAsia" w:ascii="仿宋" w:hAnsi="仿宋" w:eastAsia="仿宋" w:cs="仿宋"/>
              </w:rPr>
              <w:t>√</w:t>
            </w:r>
          </w:p>
        </w:tc>
        <w:tc>
          <w:tcPr>
            <w:tcW w:w="548" w:type="dxa"/>
            <w:vAlign w:val="center"/>
          </w:tcPr>
          <w:p>
            <w:pPr>
              <w:jc w:val="center"/>
              <w:rPr>
                <w:rFonts w:hint="eastAsia" w:ascii="仿宋_GB2312" w:hAnsi="仿宋_GB2312" w:eastAsia="仿宋_GB2312" w:cs="仿宋_GB2312"/>
                <w:bCs/>
              </w:rPr>
            </w:pPr>
            <w:r>
              <w:rPr>
                <w:rFonts w:hint="eastAsia" w:ascii="仿宋" w:hAnsi="仿宋" w:eastAsia="仿宋" w:cs="仿宋"/>
              </w:rPr>
              <w:t>√</w:t>
            </w:r>
          </w:p>
        </w:tc>
        <w:tc>
          <w:tcPr>
            <w:tcW w:w="548" w:type="dxa"/>
            <w:vAlign w:val="center"/>
          </w:tcPr>
          <w:p>
            <w:pPr>
              <w:jc w:val="center"/>
              <w:rPr>
                <w:rFonts w:hint="eastAsia" w:ascii="仿宋_GB2312" w:hAnsi="仿宋_GB2312" w:eastAsia="仿宋_GB2312" w:cs="仿宋_GB2312"/>
                <w:bCs/>
              </w:rPr>
            </w:pPr>
            <w:r>
              <w:rPr>
                <w:rFonts w:hint="eastAsia" w:ascii="仿宋" w:hAnsi="仿宋" w:eastAsia="仿宋" w:cs="仿宋"/>
              </w:rPr>
              <w:t>√</w:t>
            </w:r>
          </w:p>
        </w:tc>
        <w:tc>
          <w:tcPr>
            <w:tcW w:w="548" w:type="dxa"/>
            <w:vAlign w:val="center"/>
          </w:tcPr>
          <w:p>
            <w:pPr>
              <w:jc w:val="center"/>
              <w:rPr>
                <w:rFonts w:hint="eastAsia" w:ascii="仿宋_GB2312" w:hAnsi="仿宋_GB2312" w:eastAsia="仿宋_GB2312" w:cs="仿宋_GB2312"/>
                <w:bCs/>
              </w:rPr>
            </w:pPr>
            <w:r>
              <w:rPr>
                <w:rFonts w:hint="eastAsia" w:ascii="仿宋" w:hAnsi="仿宋" w:eastAsia="仿宋" w:cs="仿宋"/>
              </w:rPr>
              <w:t>√</w:t>
            </w:r>
          </w:p>
        </w:tc>
        <w:tc>
          <w:tcPr>
            <w:tcW w:w="548" w:type="dxa"/>
            <w:vAlign w:val="center"/>
          </w:tcPr>
          <w:p>
            <w:pPr>
              <w:pStyle w:val="21"/>
              <w:spacing w:before="159" w:after="159" w:line="240" w:lineRule="auto"/>
              <w:rPr>
                <w:rFonts w:hint="eastAsia" w:ascii="仿宋_GB2312" w:hAnsi="仿宋_GB2312" w:eastAsia="仿宋_GB2312" w:cs="仿宋_GB2312"/>
                <w:bCs/>
              </w:rPr>
            </w:pPr>
            <w:r>
              <w:rPr>
                <w:rFonts w:hint="eastAsia" w:ascii="仿宋" w:hAnsi="仿宋" w:eastAsia="仿宋" w:cs="仿宋"/>
              </w:rPr>
              <w:t>√</w:t>
            </w:r>
          </w:p>
        </w:tc>
        <w:tc>
          <w:tcPr>
            <w:tcW w:w="548" w:type="dxa"/>
            <w:vAlign w:val="center"/>
          </w:tcPr>
          <w:p>
            <w:pPr>
              <w:pStyle w:val="21"/>
              <w:spacing w:before="159" w:after="159" w:line="240" w:lineRule="auto"/>
              <w:rPr>
                <w:rFonts w:hint="eastAsia" w:ascii="仿宋_GB2312" w:hAnsi="仿宋_GB2312" w:eastAsia="仿宋_GB2312" w:cs="仿宋_GB2312"/>
                <w:bCs/>
              </w:rPr>
            </w:pPr>
            <w:r>
              <w:rPr>
                <w:rFonts w:hint="eastAsia" w:ascii="仿宋" w:hAnsi="仿宋" w:eastAsia="仿宋" w:cs="仿宋"/>
              </w:rPr>
              <w:t>√</w:t>
            </w:r>
          </w:p>
        </w:tc>
        <w:tc>
          <w:tcPr>
            <w:tcW w:w="548" w:type="dxa"/>
            <w:vAlign w:val="center"/>
          </w:tcPr>
          <w:p>
            <w:pPr>
              <w:pStyle w:val="21"/>
              <w:spacing w:before="159" w:after="159" w:line="240" w:lineRule="auto"/>
              <w:rPr>
                <w:rFonts w:hint="eastAsia" w:ascii="仿宋_GB2312" w:hAnsi="仿宋_GB2312" w:eastAsia="仿宋_GB2312" w:cs="仿宋_GB2312"/>
                <w:bCs/>
              </w:rPr>
            </w:pPr>
            <w:r>
              <w:rPr>
                <w:rFonts w:hint="eastAsia" w:ascii="仿宋" w:hAnsi="仿宋" w:eastAsia="仿宋" w:cs="仿宋"/>
              </w:rPr>
              <w:t>√</w:t>
            </w:r>
          </w:p>
        </w:tc>
        <w:tc>
          <w:tcPr>
            <w:tcW w:w="435" w:type="dxa"/>
            <w:vAlign w:val="center"/>
          </w:tcPr>
          <w:p>
            <w:pPr>
              <w:pStyle w:val="21"/>
              <w:spacing w:before="159" w:after="159" w:line="240" w:lineRule="auto"/>
              <w:rPr>
                <w:rFonts w:hint="eastAsia" w:ascii="仿宋_GB2312" w:hAnsi="仿宋_GB2312" w:eastAsia="仿宋_GB2312" w:cs="仿宋_GB2312"/>
                <w:bCs/>
              </w:rPr>
            </w:pPr>
          </w:p>
        </w:tc>
        <w:tc>
          <w:tcPr>
            <w:tcW w:w="1289" w:type="dxa"/>
            <w:vAlign w:val="center"/>
          </w:tcPr>
          <w:p>
            <w:pPr>
              <w:pStyle w:val="21"/>
              <w:spacing w:before="159" w:after="159" w:line="240" w:lineRule="auto"/>
              <w:rPr>
                <w:rFonts w:hint="eastAsia" w:ascii="仿宋_GB2312" w:hAnsi="仿宋_GB2312" w:eastAsia="仿宋_GB2312" w:cs="仿宋_GB2312"/>
                <w:bCs/>
              </w:rPr>
            </w:pPr>
            <w:r>
              <w:rPr>
                <w:rFonts w:hint="eastAsia" w:ascii="仿宋" w:hAnsi="仿宋" w:eastAsia="仿宋" w:cs="仿宋"/>
              </w:rPr>
              <w:t>跨境电子商务专业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0" w:type="dxa"/>
            <w:vAlign w:val="center"/>
          </w:tcPr>
          <w:p>
            <w:pPr>
              <w:pStyle w:val="21"/>
              <w:spacing w:before="159" w:after="159" w:line="240" w:lineRule="auto"/>
              <w:jc w:val="center"/>
              <w:rPr>
                <w:rFonts w:hint="eastAsia" w:ascii="仿宋_GB2312" w:hAnsi="仿宋_GB2312" w:eastAsia="仿宋_GB2312" w:cs="仿宋_GB2312"/>
                <w:bCs/>
              </w:rPr>
            </w:pPr>
            <w:r>
              <w:rPr>
                <w:rFonts w:hint="eastAsia" w:ascii="仿宋" w:hAnsi="仿宋" w:eastAsia="仿宋" w:cs="仿宋"/>
              </w:rPr>
              <w:t>2</w:t>
            </w:r>
          </w:p>
        </w:tc>
        <w:tc>
          <w:tcPr>
            <w:tcW w:w="1929" w:type="dxa"/>
            <w:vAlign w:val="center"/>
          </w:tcPr>
          <w:p>
            <w:pPr>
              <w:jc w:val="center"/>
              <w:rPr>
                <w:rFonts w:hint="eastAsia" w:ascii="仿宋_GB2312" w:hAnsi="仿宋_GB2312" w:eastAsia="仿宋_GB2312" w:cs="仿宋_GB2312"/>
                <w:bCs/>
              </w:rPr>
            </w:pPr>
            <w:r>
              <w:rPr>
                <w:rFonts w:hint="eastAsia" w:ascii="仿宋" w:hAnsi="仿宋" w:eastAsia="仿宋" w:cs="仿宋"/>
              </w:rPr>
              <w:t>企业专家专题讲座</w:t>
            </w:r>
          </w:p>
        </w:tc>
        <w:tc>
          <w:tcPr>
            <w:tcW w:w="610" w:type="dxa"/>
            <w:vAlign w:val="center"/>
          </w:tcPr>
          <w:p>
            <w:pPr>
              <w:pStyle w:val="21"/>
              <w:spacing w:before="159" w:after="159" w:line="240" w:lineRule="auto"/>
              <w:jc w:val="center"/>
              <w:rPr>
                <w:rFonts w:hint="eastAsia" w:ascii="仿宋_GB2312" w:hAnsi="仿宋_GB2312" w:eastAsia="仿宋_GB2312" w:cs="仿宋_GB2312"/>
                <w:bCs/>
              </w:rPr>
            </w:pPr>
            <w:r>
              <w:rPr>
                <w:rFonts w:hint="eastAsia" w:ascii="仿宋" w:hAnsi="仿宋" w:eastAsia="仿宋" w:cs="仿宋"/>
              </w:rPr>
              <w:t>2</w:t>
            </w:r>
          </w:p>
        </w:tc>
        <w:tc>
          <w:tcPr>
            <w:tcW w:w="548" w:type="dxa"/>
            <w:vAlign w:val="center"/>
          </w:tcPr>
          <w:p>
            <w:pPr>
              <w:pStyle w:val="21"/>
              <w:spacing w:before="159" w:after="159" w:line="240" w:lineRule="auto"/>
              <w:rPr>
                <w:rFonts w:hint="eastAsia" w:ascii="仿宋_GB2312" w:hAnsi="仿宋_GB2312" w:eastAsia="仿宋_GB2312" w:cs="仿宋_GB2312"/>
                <w:bCs/>
              </w:rPr>
            </w:pPr>
          </w:p>
        </w:tc>
        <w:tc>
          <w:tcPr>
            <w:tcW w:w="548" w:type="dxa"/>
            <w:vAlign w:val="center"/>
          </w:tcPr>
          <w:p>
            <w:pPr>
              <w:pStyle w:val="21"/>
              <w:spacing w:before="159" w:after="159" w:line="240" w:lineRule="auto"/>
              <w:rPr>
                <w:rFonts w:hint="eastAsia" w:ascii="仿宋_GB2312" w:hAnsi="仿宋_GB2312" w:eastAsia="仿宋_GB2312" w:cs="仿宋_GB2312"/>
                <w:bCs/>
              </w:rPr>
            </w:pPr>
            <w:r>
              <w:rPr>
                <w:rFonts w:hint="eastAsia" w:ascii="仿宋" w:hAnsi="仿宋" w:eastAsia="仿宋" w:cs="仿宋"/>
              </w:rPr>
              <w:t>√</w:t>
            </w:r>
          </w:p>
        </w:tc>
        <w:tc>
          <w:tcPr>
            <w:tcW w:w="548" w:type="dxa"/>
            <w:vAlign w:val="center"/>
          </w:tcPr>
          <w:p>
            <w:pPr>
              <w:pStyle w:val="21"/>
              <w:spacing w:before="159" w:after="159" w:line="240" w:lineRule="auto"/>
              <w:rPr>
                <w:rFonts w:hint="eastAsia" w:ascii="仿宋_GB2312" w:hAnsi="仿宋_GB2312" w:eastAsia="仿宋_GB2312" w:cs="仿宋_GB2312"/>
                <w:bCs/>
              </w:rPr>
            </w:pPr>
          </w:p>
        </w:tc>
        <w:tc>
          <w:tcPr>
            <w:tcW w:w="548" w:type="dxa"/>
            <w:vAlign w:val="center"/>
          </w:tcPr>
          <w:p>
            <w:pPr>
              <w:pStyle w:val="21"/>
              <w:spacing w:before="159" w:after="159" w:line="240" w:lineRule="auto"/>
              <w:rPr>
                <w:rFonts w:hint="eastAsia" w:ascii="仿宋_GB2312" w:hAnsi="仿宋_GB2312" w:eastAsia="仿宋_GB2312" w:cs="仿宋_GB2312"/>
                <w:bCs/>
              </w:rPr>
            </w:pPr>
            <w:r>
              <w:rPr>
                <w:rFonts w:hint="eastAsia" w:ascii="仿宋" w:hAnsi="仿宋" w:eastAsia="仿宋" w:cs="仿宋"/>
              </w:rPr>
              <w:t>√</w:t>
            </w:r>
          </w:p>
        </w:tc>
        <w:tc>
          <w:tcPr>
            <w:tcW w:w="548" w:type="dxa"/>
            <w:vAlign w:val="center"/>
          </w:tcPr>
          <w:p>
            <w:pPr>
              <w:pStyle w:val="21"/>
              <w:spacing w:before="159" w:after="159" w:line="240" w:lineRule="auto"/>
              <w:rPr>
                <w:rFonts w:hint="eastAsia" w:ascii="仿宋_GB2312" w:hAnsi="仿宋_GB2312" w:eastAsia="仿宋_GB2312" w:cs="仿宋_GB2312"/>
                <w:bCs/>
              </w:rPr>
            </w:pPr>
          </w:p>
        </w:tc>
        <w:tc>
          <w:tcPr>
            <w:tcW w:w="548" w:type="dxa"/>
            <w:vAlign w:val="center"/>
          </w:tcPr>
          <w:p>
            <w:pPr>
              <w:pStyle w:val="21"/>
              <w:spacing w:before="159" w:after="159" w:line="240" w:lineRule="auto"/>
              <w:rPr>
                <w:rFonts w:hint="eastAsia" w:ascii="仿宋_GB2312" w:hAnsi="仿宋_GB2312" w:eastAsia="仿宋_GB2312" w:cs="仿宋_GB2312"/>
                <w:bCs/>
              </w:rPr>
            </w:pPr>
            <w:r>
              <w:rPr>
                <w:rFonts w:hint="eastAsia" w:ascii="仿宋" w:hAnsi="仿宋" w:eastAsia="仿宋" w:cs="仿宋"/>
              </w:rPr>
              <w:t>√</w:t>
            </w:r>
          </w:p>
        </w:tc>
        <w:tc>
          <w:tcPr>
            <w:tcW w:w="548" w:type="dxa"/>
            <w:vAlign w:val="center"/>
          </w:tcPr>
          <w:p>
            <w:pPr>
              <w:pStyle w:val="21"/>
              <w:spacing w:before="159" w:after="159" w:line="240" w:lineRule="auto"/>
              <w:rPr>
                <w:rFonts w:hint="eastAsia" w:ascii="仿宋_GB2312" w:hAnsi="仿宋_GB2312" w:eastAsia="仿宋_GB2312" w:cs="仿宋_GB2312"/>
                <w:bCs/>
              </w:rPr>
            </w:pPr>
          </w:p>
        </w:tc>
        <w:tc>
          <w:tcPr>
            <w:tcW w:w="435" w:type="dxa"/>
            <w:vAlign w:val="center"/>
          </w:tcPr>
          <w:p>
            <w:pPr>
              <w:pStyle w:val="21"/>
              <w:spacing w:before="159" w:after="159" w:line="240" w:lineRule="auto"/>
              <w:rPr>
                <w:rFonts w:hint="eastAsia" w:ascii="仿宋_GB2312" w:hAnsi="仿宋_GB2312" w:eastAsia="仿宋_GB2312" w:cs="仿宋_GB2312"/>
                <w:bCs/>
              </w:rPr>
            </w:pPr>
          </w:p>
        </w:tc>
        <w:tc>
          <w:tcPr>
            <w:tcW w:w="1289" w:type="dxa"/>
            <w:vAlign w:val="center"/>
          </w:tcPr>
          <w:p>
            <w:pPr>
              <w:pStyle w:val="21"/>
              <w:spacing w:before="159" w:after="159" w:line="240" w:lineRule="auto"/>
              <w:rPr>
                <w:rFonts w:hint="eastAsia" w:ascii="仿宋_GB2312" w:hAnsi="仿宋_GB2312" w:eastAsia="仿宋_GB2312" w:cs="仿宋_GB2312"/>
                <w:bCs/>
              </w:rPr>
            </w:pPr>
            <w:r>
              <w:rPr>
                <w:rFonts w:hint="eastAsia" w:ascii="仿宋" w:hAnsi="仿宋" w:eastAsia="仿宋" w:cs="仿宋"/>
              </w:rPr>
              <w:t xml:space="preserve">跨境电子商务专业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0" w:type="dxa"/>
            <w:vAlign w:val="center"/>
          </w:tcPr>
          <w:p>
            <w:pPr>
              <w:pStyle w:val="21"/>
              <w:spacing w:before="159" w:after="159" w:line="240" w:lineRule="auto"/>
              <w:jc w:val="center"/>
              <w:rPr>
                <w:rFonts w:hint="eastAsia" w:ascii="仿宋_GB2312" w:hAnsi="仿宋_GB2312" w:eastAsia="仿宋_GB2312" w:cs="仿宋_GB2312"/>
                <w:bCs/>
              </w:rPr>
            </w:pPr>
            <w:r>
              <w:rPr>
                <w:rFonts w:hint="eastAsia" w:ascii="仿宋" w:hAnsi="仿宋" w:eastAsia="仿宋" w:cs="仿宋"/>
              </w:rPr>
              <w:t>3</w:t>
            </w:r>
          </w:p>
        </w:tc>
        <w:tc>
          <w:tcPr>
            <w:tcW w:w="1929" w:type="dxa"/>
            <w:vAlign w:val="center"/>
          </w:tcPr>
          <w:p>
            <w:pPr>
              <w:pStyle w:val="46"/>
              <w:rPr>
                <w:rFonts w:ascii="仿宋_GB2312" w:hAnsi="仿宋_GB2312" w:eastAsia="仿宋_GB2312" w:cs="仿宋_GB2312"/>
                <w:b w:val="0"/>
                <w:bCs/>
              </w:rPr>
            </w:pPr>
            <w:r>
              <w:rPr>
                <w:rFonts w:eastAsia="仿宋" w:cs="仿宋"/>
                <w:b w:val="0"/>
                <w:szCs w:val="22"/>
              </w:rPr>
              <w:t>跨境电子商务比赛</w:t>
            </w:r>
          </w:p>
        </w:tc>
        <w:tc>
          <w:tcPr>
            <w:tcW w:w="610" w:type="dxa"/>
            <w:vAlign w:val="center"/>
          </w:tcPr>
          <w:p>
            <w:pPr>
              <w:pStyle w:val="21"/>
              <w:spacing w:before="159" w:after="159" w:line="240" w:lineRule="auto"/>
              <w:jc w:val="center"/>
              <w:rPr>
                <w:rFonts w:hint="eastAsia" w:ascii="仿宋_GB2312" w:hAnsi="仿宋_GB2312" w:eastAsia="仿宋_GB2312" w:cs="仿宋_GB2312"/>
                <w:bCs/>
              </w:rPr>
            </w:pPr>
            <w:r>
              <w:rPr>
                <w:rFonts w:hint="eastAsia" w:ascii="仿宋" w:hAnsi="仿宋" w:eastAsia="仿宋" w:cs="仿宋"/>
              </w:rPr>
              <w:t>8</w:t>
            </w:r>
          </w:p>
        </w:tc>
        <w:tc>
          <w:tcPr>
            <w:tcW w:w="548" w:type="dxa"/>
            <w:vAlign w:val="center"/>
          </w:tcPr>
          <w:p>
            <w:pPr>
              <w:pStyle w:val="21"/>
              <w:spacing w:before="159" w:after="159" w:line="240" w:lineRule="auto"/>
              <w:rPr>
                <w:rFonts w:hint="eastAsia" w:ascii="仿宋_GB2312" w:hAnsi="仿宋_GB2312" w:eastAsia="仿宋_GB2312" w:cs="仿宋_GB2312"/>
                <w:bCs/>
              </w:rPr>
            </w:pPr>
          </w:p>
        </w:tc>
        <w:tc>
          <w:tcPr>
            <w:tcW w:w="548" w:type="dxa"/>
            <w:vAlign w:val="center"/>
          </w:tcPr>
          <w:p>
            <w:pPr>
              <w:pStyle w:val="21"/>
              <w:spacing w:before="159" w:after="159" w:line="240" w:lineRule="auto"/>
              <w:rPr>
                <w:rFonts w:hint="eastAsia" w:ascii="仿宋_GB2312" w:hAnsi="仿宋_GB2312" w:eastAsia="仿宋_GB2312" w:cs="仿宋_GB2312"/>
                <w:bCs/>
              </w:rPr>
            </w:pPr>
          </w:p>
        </w:tc>
        <w:tc>
          <w:tcPr>
            <w:tcW w:w="548" w:type="dxa"/>
            <w:vAlign w:val="center"/>
          </w:tcPr>
          <w:p>
            <w:pPr>
              <w:pStyle w:val="21"/>
              <w:spacing w:before="159" w:after="159" w:line="240" w:lineRule="auto"/>
              <w:rPr>
                <w:rFonts w:hint="eastAsia" w:ascii="仿宋_GB2312" w:hAnsi="仿宋_GB2312" w:eastAsia="仿宋_GB2312" w:cs="仿宋_GB2312"/>
                <w:bCs/>
              </w:rPr>
            </w:pPr>
          </w:p>
        </w:tc>
        <w:tc>
          <w:tcPr>
            <w:tcW w:w="548" w:type="dxa"/>
            <w:vAlign w:val="center"/>
          </w:tcPr>
          <w:p>
            <w:pPr>
              <w:pStyle w:val="21"/>
              <w:spacing w:before="159" w:after="159" w:line="240" w:lineRule="auto"/>
              <w:rPr>
                <w:rFonts w:hint="eastAsia" w:ascii="仿宋_GB2312" w:hAnsi="仿宋_GB2312" w:eastAsia="仿宋_GB2312" w:cs="仿宋_GB2312"/>
                <w:bCs/>
              </w:rPr>
            </w:pPr>
            <w:r>
              <w:rPr>
                <w:rFonts w:hint="eastAsia" w:ascii="仿宋" w:hAnsi="仿宋" w:eastAsia="仿宋" w:cs="仿宋"/>
              </w:rPr>
              <w:t>√</w:t>
            </w:r>
          </w:p>
        </w:tc>
        <w:tc>
          <w:tcPr>
            <w:tcW w:w="548" w:type="dxa"/>
            <w:vAlign w:val="center"/>
          </w:tcPr>
          <w:p>
            <w:pPr>
              <w:pStyle w:val="21"/>
              <w:spacing w:before="159" w:after="159" w:line="240" w:lineRule="auto"/>
              <w:rPr>
                <w:rFonts w:hint="eastAsia" w:ascii="仿宋_GB2312" w:hAnsi="仿宋_GB2312" w:eastAsia="仿宋_GB2312" w:cs="仿宋_GB2312"/>
                <w:bCs/>
              </w:rPr>
            </w:pPr>
          </w:p>
        </w:tc>
        <w:tc>
          <w:tcPr>
            <w:tcW w:w="548" w:type="dxa"/>
            <w:vAlign w:val="center"/>
          </w:tcPr>
          <w:p>
            <w:pPr>
              <w:pStyle w:val="21"/>
              <w:spacing w:before="159" w:after="159" w:line="240" w:lineRule="auto"/>
              <w:rPr>
                <w:rFonts w:hint="eastAsia" w:ascii="仿宋_GB2312" w:hAnsi="仿宋_GB2312" w:eastAsia="仿宋_GB2312" w:cs="仿宋_GB2312"/>
                <w:bCs/>
              </w:rPr>
            </w:pPr>
          </w:p>
        </w:tc>
        <w:tc>
          <w:tcPr>
            <w:tcW w:w="548" w:type="dxa"/>
            <w:vAlign w:val="center"/>
          </w:tcPr>
          <w:p>
            <w:pPr>
              <w:pStyle w:val="21"/>
              <w:spacing w:before="159" w:after="159" w:line="240" w:lineRule="auto"/>
              <w:rPr>
                <w:rFonts w:hint="eastAsia" w:ascii="仿宋_GB2312" w:hAnsi="仿宋_GB2312" w:eastAsia="仿宋_GB2312" w:cs="仿宋_GB2312"/>
                <w:bCs/>
              </w:rPr>
            </w:pPr>
          </w:p>
        </w:tc>
        <w:tc>
          <w:tcPr>
            <w:tcW w:w="435" w:type="dxa"/>
            <w:vAlign w:val="center"/>
          </w:tcPr>
          <w:p>
            <w:pPr>
              <w:pStyle w:val="21"/>
              <w:spacing w:before="159" w:after="159" w:line="240" w:lineRule="auto"/>
              <w:rPr>
                <w:rFonts w:hint="eastAsia" w:ascii="仿宋_GB2312" w:hAnsi="仿宋_GB2312" w:eastAsia="仿宋_GB2312" w:cs="仿宋_GB2312"/>
                <w:bCs/>
              </w:rPr>
            </w:pPr>
          </w:p>
        </w:tc>
        <w:tc>
          <w:tcPr>
            <w:tcW w:w="1289" w:type="dxa"/>
            <w:vAlign w:val="center"/>
          </w:tcPr>
          <w:p>
            <w:pPr>
              <w:jc w:val="center"/>
              <w:rPr>
                <w:rFonts w:hint="eastAsia" w:ascii="仿宋_GB2312" w:hAnsi="仿宋_GB2312" w:eastAsia="仿宋_GB2312" w:cs="仿宋_GB2312"/>
                <w:bCs/>
              </w:rPr>
            </w:pPr>
            <w:r>
              <w:rPr>
                <w:rFonts w:hint="eastAsia" w:ascii="仿宋" w:hAnsi="仿宋" w:eastAsia="仿宋" w:cs="仿宋"/>
              </w:rPr>
              <w:t>跨境电子商务专业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0" w:type="dxa"/>
            <w:vAlign w:val="center"/>
          </w:tcPr>
          <w:p>
            <w:pPr>
              <w:pStyle w:val="21"/>
              <w:spacing w:before="159" w:after="159" w:line="240" w:lineRule="auto"/>
              <w:jc w:val="center"/>
              <w:rPr>
                <w:rFonts w:hint="eastAsia" w:ascii="仿宋_GB2312" w:hAnsi="仿宋_GB2312" w:eastAsia="仿宋_GB2312" w:cs="仿宋_GB2312"/>
                <w:bCs/>
              </w:rPr>
            </w:pPr>
            <w:r>
              <w:rPr>
                <w:rFonts w:hint="eastAsia" w:ascii="仿宋" w:hAnsi="仿宋" w:eastAsia="仿宋" w:cs="仿宋"/>
              </w:rPr>
              <w:t>4</w:t>
            </w:r>
          </w:p>
        </w:tc>
        <w:tc>
          <w:tcPr>
            <w:tcW w:w="1929" w:type="dxa"/>
            <w:vAlign w:val="center"/>
          </w:tcPr>
          <w:p>
            <w:pPr>
              <w:pStyle w:val="46"/>
              <w:ind w:firstLine="0"/>
              <w:rPr>
                <w:rFonts w:ascii="仿宋_GB2312" w:hAnsi="仿宋_GB2312" w:eastAsia="仿宋_GB2312" w:cs="仿宋_GB2312"/>
                <w:b w:val="0"/>
                <w:bCs/>
              </w:rPr>
            </w:pPr>
            <w:r>
              <w:rPr>
                <w:rFonts w:eastAsia="仿宋" w:cs="仿宋"/>
                <w:b w:val="0"/>
                <w:szCs w:val="22"/>
              </w:rPr>
              <w:t>跨境直播大赛</w:t>
            </w:r>
          </w:p>
        </w:tc>
        <w:tc>
          <w:tcPr>
            <w:tcW w:w="610" w:type="dxa"/>
            <w:vAlign w:val="center"/>
          </w:tcPr>
          <w:p>
            <w:pPr>
              <w:pStyle w:val="21"/>
              <w:spacing w:before="159" w:after="159" w:line="240" w:lineRule="auto"/>
              <w:jc w:val="center"/>
              <w:rPr>
                <w:rFonts w:hint="eastAsia" w:ascii="仿宋_GB2312" w:hAnsi="仿宋_GB2312" w:eastAsia="仿宋_GB2312" w:cs="仿宋_GB2312"/>
                <w:bCs/>
              </w:rPr>
            </w:pPr>
            <w:r>
              <w:rPr>
                <w:rFonts w:hint="eastAsia" w:ascii="仿宋" w:hAnsi="仿宋" w:eastAsia="仿宋" w:cs="仿宋"/>
              </w:rPr>
              <w:t>8</w:t>
            </w:r>
          </w:p>
        </w:tc>
        <w:tc>
          <w:tcPr>
            <w:tcW w:w="548" w:type="dxa"/>
            <w:vAlign w:val="center"/>
          </w:tcPr>
          <w:p>
            <w:pPr>
              <w:pStyle w:val="21"/>
              <w:spacing w:before="159" w:after="159" w:line="240" w:lineRule="auto"/>
              <w:rPr>
                <w:rFonts w:hint="eastAsia" w:ascii="仿宋_GB2312" w:hAnsi="仿宋_GB2312" w:eastAsia="仿宋_GB2312" w:cs="仿宋_GB2312"/>
                <w:bCs/>
              </w:rPr>
            </w:pPr>
          </w:p>
        </w:tc>
        <w:tc>
          <w:tcPr>
            <w:tcW w:w="548" w:type="dxa"/>
            <w:vAlign w:val="center"/>
          </w:tcPr>
          <w:p>
            <w:pPr>
              <w:pStyle w:val="21"/>
              <w:spacing w:before="159" w:after="159" w:line="240" w:lineRule="auto"/>
              <w:rPr>
                <w:rFonts w:hint="eastAsia" w:ascii="仿宋_GB2312" w:hAnsi="仿宋_GB2312" w:eastAsia="仿宋_GB2312" w:cs="仿宋_GB2312"/>
                <w:bCs/>
              </w:rPr>
            </w:pPr>
          </w:p>
        </w:tc>
        <w:tc>
          <w:tcPr>
            <w:tcW w:w="548" w:type="dxa"/>
            <w:vAlign w:val="center"/>
          </w:tcPr>
          <w:p>
            <w:pPr>
              <w:pStyle w:val="21"/>
              <w:spacing w:before="159" w:after="159" w:line="240" w:lineRule="auto"/>
              <w:rPr>
                <w:rFonts w:hint="eastAsia" w:ascii="仿宋_GB2312" w:hAnsi="仿宋_GB2312" w:eastAsia="仿宋_GB2312" w:cs="仿宋_GB2312"/>
                <w:bCs/>
              </w:rPr>
            </w:pPr>
          </w:p>
        </w:tc>
        <w:tc>
          <w:tcPr>
            <w:tcW w:w="548" w:type="dxa"/>
            <w:vAlign w:val="center"/>
          </w:tcPr>
          <w:p>
            <w:pPr>
              <w:pStyle w:val="21"/>
              <w:spacing w:before="159" w:after="159" w:line="240" w:lineRule="auto"/>
              <w:rPr>
                <w:rFonts w:hint="eastAsia" w:ascii="仿宋_GB2312" w:hAnsi="仿宋_GB2312" w:eastAsia="仿宋_GB2312" w:cs="仿宋_GB2312"/>
                <w:bCs/>
              </w:rPr>
            </w:pPr>
          </w:p>
        </w:tc>
        <w:tc>
          <w:tcPr>
            <w:tcW w:w="548" w:type="dxa"/>
            <w:vAlign w:val="center"/>
          </w:tcPr>
          <w:p>
            <w:pPr>
              <w:pStyle w:val="21"/>
              <w:spacing w:before="159" w:after="159" w:line="240" w:lineRule="auto"/>
              <w:rPr>
                <w:rFonts w:hint="eastAsia" w:ascii="仿宋_GB2312" w:hAnsi="仿宋_GB2312" w:eastAsia="仿宋_GB2312" w:cs="仿宋_GB2312"/>
                <w:bCs/>
              </w:rPr>
            </w:pPr>
          </w:p>
        </w:tc>
        <w:tc>
          <w:tcPr>
            <w:tcW w:w="548" w:type="dxa"/>
            <w:vAlign w:val="center"/>
          </w:tcPr>
          <w:p>
            <w:pPr>
              <w:pStyle w:val="21"/>
              <w:spacing w:before="159" w:after="159" w:line="240" w:lineRule="auto"/>
              <w:rPr>
                <w:rFonts w:hint="eastAsia" w:ascii="仿宋_GB2312" w:hAnsi="仿宋_GB2312" w:eastAsia="仿宋_GB2312" w:cs="仿宋_GB2312"/>
                <w:bCs/>
              </w:rPr>
            </w:pPr>
            <w:r>
              <w:rPr>
                <w:rFonts w:hint="eastAsia" w:ascii="仿宋" w:hAnsi="仿宋" w:eastAsia="仿宋" w:cs="仿宋"/>
              </w:rPr>
              <w:t>√</w:t>
            </w:r>
          </w:p>
        </w:tc>
        <w:tc>
          <w:tcPr>
            <w:tcW w:w="548" w:type="dxa"/>
            <w:vAlign w:val="center"/>
          </w:tcPr>
          <w:p>
            <w:pPr>
              <w:pStyle w:val="21"/>
              <w:spacing w:before="159" w:after="159" w:line="240" w:lineRule="auto"/>
              <w:rPr>
                <w:rFonts w:hint="eastAsia" w:ascii="仿宋_GB2312" w:hAnsi="仿宋_GB2312" w:eastAsia="仿宋_GB2312" w:cs="仿宋_GB2312"/>
                <w:bCs/>
              </w:rPr>
            </w:pPr>
          </w:p>
        </w:tc>
        <w:tc>
          <w:tcPr>
            <w:tcW w:w="435" w:type="dxa"/>
            <w:vAlign w:val="center"/>
          </w:tcPr>
          <w:p>
            <w:pPr>
              <w:pStyle w:val="21"/>
              <w:spacing w:before="159" w:after="159" w:line="240" w:lineRule="auto"/>
              <w:rPr>
                <w:rFonts w:hint="eastAsia" w:ascii="仿宋_GB2312" w:hAnsi="仿宋_GB2312" w:eastAsia="仿宋_GB2312" w:cs="仿宋_GB2312"/>
                <w:bCs/>
              </w:rPr>
            </w:pPr>
          </w:p>
        </w:tc>
        <w:tc>
          <w:tcPr>
            <w:tcW w:w="1289" w:type="dxa"/>
            <w:vAlign w:val="center"/>
          </w:tcPr>
          <w:p>
            <w:pPr>
              <w:jc w:val="center"/>
              <w:rPr>
                <w:rFonts w:hint="eastAsia" w:ascii="仿宋_GB2312" w:hAnsi="仿宋_GB2312" w:eastAsia="仿宋_GB2312" w:cs="仿宋_GB2312"/>
                <w:bCs/>
              </w:rPr>
            </w:pPr>
            <w:r>
              <w:rPr>
                <w:rFonts w:hint="eastAsia" w:ascii="仿宋" w:hAnsi="仿宋" w:eastAsia="仿宋" w:cs="仿宋"/>
              </w:rPr>
              <w:t>跨境电子商务专业</w:t>
            </w:r>
          </w:p>
        </w:tc>
      </w:tr>
    </w:tbl>
    <w:p>
      <w:pPr>
        <w:pStyle w:val="3"/>
        <w:sectPr>
          <w:pgSz w:w="11906" w:h="16838"/>
          <w:pgMar w:top="1440" w:right="1803" w:bottom="1440" w:left="1803" w:header="851" w:footer="992" w:gutter="0"/>
          <w:pgNumType w:fmt="decimal"/>
          <w:cols w:space="0" w:num="1"/>
          <w:docGrid w:type="lines" w:linePitch="319" w:charSpace="0"/>
        </w:sectPr>
      </w:pPr>
    </w:p>
    <w:p>
      <w:pPr>
        <w:pStyle w:val="2"/>
        <w:spacing w:before="40" w:after="40" w:line="360" w:lineRule="auto"/>
        <w:ind w:firstLine="602" w:firstLineChars="200"/>
        <w:rPr>
          <w:rFonts w:hint="eastAsia" w:ascii="黑体" w:hAnsi="黑体" w:eastAsia="黑体" w:cs="黑体"/>
          <w:sz w:val="30"/>
          <w:szCs w:val="30"/>
        </w:rPr>
      </w:pPr>
      <w:bookmarkStart w:id="47" w:name="_Toc27067"/>
      <w:r>
        <w:rPr>
          <w:rFonts w:hint="eastAsia" w:ascii="黑体" w:hAnsi="黑体" w:eastAsia="黑体" w:cs="黑体"/>
          <w:sz w:val="30"/>
          <w:szCs w:val="30"/>
        </w:rPr>
        <w:t>八、实施保障</w:t>
      </w:r>
      <w:bookmarkEnd w:id="47"/>
    </w:p>
    <w:p>
      <w:pPr>
        <w:pStyle w:val="3"/>
        <w:ind w:firstLine="562" w:firstLineChars="200"/>
        <w:rPr>
          <w:rFonts w:hint="eastAsia" w:ascii="仿宋_GB2312" w:hAnsi="仿宋_GB2312" w:eastAsia="仿宋_GB2312" w:cs="仿宋_GB2312"/>
          <w:sz w:val="28"/>
          <w:szCs w:val="36"/>
        </w:rPr>
      </w:pPr>
      <w:bookmarkStart w:id="48" w:name="_Toc28671"/>
      <w:r>
        <w:rPr>
          <w:rFonts w:hint="eastAsia" w:ascii="仿宋_GB2312" w:hAnsi="仿宋_GB2312" w:eastAsia="仿宋_GB2312" w:cs="仿宋_GB2312"/>
          <w:sz w:val="28"/>
          <w:szCs w:val="36"/>
        </w:rPr>
        <w:t>（一）实训基地配备</w:t>
      </w:r>
      <w:bookmarkEnd w:id="48"/>
    </w:p>
    <w:p>
      <w:pPr>
        <w:adjustRightInd w:val="0"/>
        <w:snapToGrid w:val="0"/>
        <w:spacing w:line="360" w:lineRule="auto"/>
        <w:ind w:firstLine="560" w:firstLineChars="200"/>
        <w:rPr>
          <w:rFonts w:hint="eastAsia" w:ascii="仿宋_GB2312" w:eastAsia="仿宋_GB2312" w:hAnsiTheme="minorEastAsia"/>
          <w:sz w:val="28"/>
          <w:szCs w:val="28"/>
        </w:rPr>
      </w:pPr>
      <w:r>
        <w:rPr>
          <w:rFonts w:hint="eastAsia" w:ascii="仿宋_GB2312" w:eastAsia="仿宋_GB2312" w:hAnsiTheme="minorEastAsia"/>
          <w:sz w:val="28"/>
          <w:szCs w:val="28"/>
        </w:rPr>
        <w:t>以一个教学班50人为标准，校内基地和校外基地结合，规划完成实践教学项目需要配备的实训室、实训设备等。</w:t>
      </w:r>
    </w:p>
    <w:p>
      <w:pPr>
        <w:adjustRightInd w:val="0"/>
        <w:snapToGrid w:val="0"/>
        <w:spacing w:line="360" w:lineRule="auto"/>
        <w:ind w:firstLine="482" w:firstLineChars="200"/>
        <w:jc w:val="center"/>
        <w:rPr>
          <w:rFonts w:hint="eastAsia" w:ascii="仿宋_GB2312" w:eastAsia="仿宋_GB2312" w:hAnsiTheme="minorEastAsia"/>
          <w:b/>
          <w:bCs/>
          <w:sz w:val="24"/>
        </w:rPr>
      </w:pPr>
      <w:r>
        <w:rPr>
          <w:rFonts w:hint="eastAsia" w:ascii="仿宋_GB2312" w:eastAsia="仿宋_GB2312" w:hAnsiTheme="minorEastAsia"/>
          <w:b/>
          <w:bCs/>
          <w:sz w:val="24"/>
        </w:rPr>
        <w:t>实训条件配备一览表</w:t>
      </w:r>
    </w:p>
    <w:tbl>
      <w:tblPr>
        <w:tblStyle w:val="15"/>
        <w:tblW w:w="4859" w:type="pct"/>
        <w:tblInd w:w="1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5"/>
        <w:gridCol w:w="1296"/>
        <w:gridCol w:w="762"/>
        <w:gridCol w:w="1882"/>
        <w:gridCol w:w="698"/>
        <w:gridCol w:w="2213"/>
        <w:gridCol w:w="9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311" w:type="pct"/>
            <w:vAlign w:val="center"/>
          </w:tcPr>
          <w:p>
            <w:pPr>
              <w:jc w:val="center"/>
              <w:rPr>
                <w:rFonts w:hint="eastAsia" w:ascii="仿宋_GB2312" w:hAnsi="仿宋_GB2312" w:eastAsia="仿宋_GB2312" w:cs="仿宋_GB2312"/>
                <w:b/>
                <w:sz w:val="20"/>
                <w:szCs w:val="20"/>
              </w:rPr>
            </w:pPr>
            <w:r>
              <w:rPr>
                <w:rFonts w:hint="eastAsia" w:ascii="仿宋_GB2312" w:hAnsi="仿宋_GB2312" w:eastAsia="仿宋_GB2312" w:cs="仿宋_GB2312"/>
                <w:b/>
                <w:sz w:val="20"/>
                <w:szCs w:val="20"/>
              </w:rPr>
              <w:t>序号</w:t>
            </w:r>
          </w:p>
        </w:tc>
        <w:tc>
          <w:tcPr>
            <w:tcW w:w="782" w:type="pct"/>
            <w:vAlign w:val="center"/>
          </w:tcPr>
          <w:p>
            <w:pPr>
              <w:jc w:val="center"/>
              <w:rPr>
                <w:rFonts w:hint="eastAsia" w:ascii="仿宋_GB2312" w:hAnsi="仿宋_GB2312" w:eastAsia="仿宋_GB2312" w:cs="仿宋_GB2312"/>
                <w:b/>
                <w:sz w:val="20"/>
                <w:szCs w:val="20"/>
              </w:rPr>
            </w:pPr>
            <w:r>
              <w:rPr>
                <w:rFonts w:hint="eastAsia" w:ascii="仿宋_GB2312" w:hAnsi="仿宋_GB2312" w:eastAsia="仿宋_GB2312" w:cs="仿宋_GB2312"/>
                <w:b/>
                <w:sz w:val="20"/>
                <w:szCs w:val="20"/>
              </w:rPr>
              <w:t>实训室名称</w:t>
            </w:r>
          </w:p>
        </w:tc>
        <w:tc>
          <w:tcPr>
            <w:tcW w:w="460" w:type="pct"/>
            <w:vAlign w:val="center"/>
          </w:tcPr>
          <w:p>
            <w:pPr>
              <w:jc w:val="center"/>
              <w:rPr>
                <w:rFonts w:hint="eastAsia" w:ascii="仿宋_GB2312" w:hAnsi="仿宋_GB2312" w:eastAsia="仿宋_GB2312" w:cs="仿宋_GB2312"/>
                <w:b/>
                <w:sz w:val="20"/>
                <w:szCs w:val="20"/>
              </w:rPr>
            </w:pPr>
            <w:r>
              <w:rPr>
                <w:rFonts w:hint="eastAsia" w:ascii="仿宋_GB2312" w:hAnsi="仿宋_GB2312" w:eastAsia="仿宋_GB2312" w:cs="仿宋_GB2312"/>
                <w:b/>
                <w:sz w:val="20"/>
                <w:szCs w:val="20"/>
              </w:rPr>
              <w:t>校内/校外</w:t>
            </w:r>
          </w:p>
        </w:tc>
        <w:tc>
          <w:tcPr>
            <w:tcW w:w="1136" w:type="pct"/>
            <w:vAlign w:val="center"/>
          </w:tcPr>
          <w:p>
            <w:pPr>
              <w:jc w:val="center"/>
              <w:rPr>
                <w:rFonts w:hint="eastAsia" w:ascii="仿宋_GB2312" w:hAnsi="仿宋_GB2312" w:eastAsia="仿宋_GB2312" w:cs="仿宋_GB2312"/>
                <w:b/>
                <w:sz w:val="20"/>
                <w:szCs w:val="20"/>
              </w:rPr>
            </w:pPr>
            <w:r>
              <w:rPr>
                <w:rFonts w:hint="eastAsia" w:ascii="仿宋_GB2312" w:hAnsi="仿宋_GB2312" w:eastAsia="仿宋_GB2312" w:cs="仿宋_GB2312"/>
                <w:b/>
                <w:sz w:val="20"/>
                <w:szCs w:val="20"/>
              </w:rPr>
              <w:t>主要设备名称</w:t>
            </w:r>
          </w:p>
        </w:tc>
        <w:tc>
          <w:tcPr>
            <w:tcW w:w="421" w:type="pct"/>
            <w:vAlign w:val="center"/>
          </w:tcPr>
          <w:p>
            <w:pPr>
              <w:jc w:val="center"/>
              <w:rPr>
                <w:rFonts w:hint="eastAsia" w:ascii="仿宋_GB2312" w:hAnsi="仿宋_GB2312" w:eastAsia="仿宋_GB2312" w:cs="仿宋_GB2312"/>
                <w:b/>
                <w:sz w:val="20"/>
                <w:szCs w:val="20"/>
              </w:rPr>
            </w:pPr>
            <w:r>
              <w:rPr>
                <w:rFonts w:hint="eastAsia" w:ascii="仿宋_GB2312" w:hAnsi="仿宋_GB2312" w:eastAsia="仿宋_GB2312" w:cs="仿宋_GB2312"/>
                <w:b/>
                <w:sz w:val="20"/>
                <w:szCs w:val="20"/>
              </w:rPr>
              <w:t>配备数量</w:t>
            </w:r>
          </w:p>
        </w:tc>
        <w:tc>
          <w:tcPr>
            <w:tcW w:w="1336" w:type="pct"/>
            <w:vAlign w:val="center"/>
          </w:tcPr>
          <w:p>
            <w:pPr>
              <w:jc w:val="center"/>
              <w:rPr>
                <w:rFonts w:hint="eastAsia" w:ascii="仿宋_GB2312" w:hAnsi="仿宋_GB2312" w:eastAsia="仿宋_GB2312" w:cs="仿宋_GB2312"/>
                <w:b/>
                <w:sz w:val="20"/>
                <w:szCs w:val="20"/>
              </w:rPr>
            </w:pPr>
            <w:r>
              <w:rPr>
                <w:rFonts w:hint="eastAsia" w:ascii="仿宋_GB2312" w:hAnsi="仿宋_GB2312" w:eastAsia="仿宋_GB2312" w:cs="仿宋_GB2312"/>
                <w:b/>
                <w:sz w:val="20"/>
                <w:szCs w:val="20"/>
              </w:rPr>
              <w:t>实训项目/内容</w:t>
            </w:r>
          </w:p>
        </w:tc>
        <w:tc>
          <w:tcPr>
            <w:tcW w:w="553" w:type="pct"/>
            <w:vAlign w:val="center"/>
          </w:tcPr>
          <w:p>
            <w:pPr>
              <w:jc w:val="center"/>
              <w:rPr>
                <w:rFonts w:hint="eastAsia" w:ascii="仿宋_GB2312" w:hAnsi="仿宋_GB2312" w:eastAsia="仿宋_GB2312" w:cs="仿宋_GB2312"/>
                <w:b/>
                <w:sz w:val="20"/>
                <w:szCs w:val="20"/>
              </w:rPr>
            </w:pPr>
            <w:r>
              <w:rPr>
                <w:rFonts w:hint="eastAsia" w:ascii="仿宋_GB2312" w:hAnsi="仿宋_GB2312" w:eastAsia="仿宋_GB2312" w:cs="仿宋_GB2312"/>
                <w:b/>
                <w:sz w:val="20"/>
                <w:szCs w:val="20"/>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31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1</w:t>
            </w:r>
          </w:p>
        </w:tc>
        <w:tc>
          <w:tcPr>
            <w:tcW w:w="782"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跨境电商运营实训室</w:t>
            </w:r>
          </w:p>
        </w:tc>
        <w:tc>
          <w:tcPr>
            <w:tcW w:w="460"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校内</w:t>
            </w:r>
          </w:p>
        </w:tc>
        <w:tc>
          <w:tcPr>
            <w:tcW w:w="11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1.台式计算机</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2.多媒体投影、功放、话筒1套</w:t>
            </w:r>
          </w:p>
        </w:tc>
        <w:tc>
          <w:tcPr>
            <w:tcW w:w="42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48</w:t>
            </w:r>
          </w:p>
        </w:tc>
        <w:tc>
          <w:tcPr>
            <w:tcW w:w="1336"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跨境电商B2B、B2C平台运营</w:t>
            </w:r>
          </w:p>
        </w:tc>
        <w:tc>
          <w:tcPr>
            <w:tcW w:w="553"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崇文楼411室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2</w:t>
            </w:r>
          </w:p>
        </w:tc>
        <w:tc>
          <w:tcPr>
            <w:tcW w:w="782"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电商运营实训室</w:t>
            </w:r>
          </w:p>
        </w:tc>
        <w:tc>
          <w:tcPr>
            <w:tcW w:w="460"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校内</w:t>
            </w:r>
          </w:p>
        </w:tc>
        <w:tc>
          <w:tcPr>
            <w:tcW w:w="11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1.台式电脑36台</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2.平板电脑66台</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3.多媒体投影、功放、话筒1套</w:t>
            </w:r>
          </w:p>
        </w:tc>
        <w:tc>
          <w:tcPr>
            <w:tcW w:w="42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102</w:t>
            </w:r>
          </w:p>
        </w:tc>
        <w:tc>
          <w:tcPr>
            <w:tcW w:w="13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1.短视频制作与运营</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2.全媒体策划与运营</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3.用户运营</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4.SNS营销与运营</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5.社群运营与维护</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6.全媒体运营</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7.电商运营</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8.跨境电商运营</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9.电商客户服务</w:t>
            </w:r>
          </w:p>
        </w:tc>
        <w:tc>
          <w:tcPr>
            <w:tcW w:w="553"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崇文楼408室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3</w:t>
            </w:r>
          </w:p>
        </w:tc>
        <w:tc>
          <w:tcPr>
            <w:tcW w:w="782"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商品信息采编实训室</w:t>
            </w:r>
          </w:p>
        </w:tc>
        <w:tc>
          <w:tcPr>
            <w:tcW w:w="460"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校内</w:t>
            </w:r>
          </w:p>
        </w:tc>
        <w:tc>
          <w:tcPr>
            <w:tcW w:w="11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1.数码相机（卡片机）：7部</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2.数码相机（单反）：5套</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3.微单：2套</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4.摄影台及灯光设备：2套</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5.台式电脑：24台</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6.稳定器：1套，</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7.手机云台：2套</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8.摄影器材（反光板、幕布、拍摄转盘、摄影支架、图传监视器、无线麦克风等）：1批</w:t>
            </w:r>
          </w:p>
        </w:tc>
        <w:tc>
          <w:tcPr>
            <w:tcW w:w="42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43+</w:t>
            </w:r>
          </w:p>
        </w:tc>
        <w:tc>
          <w:tcPr>
            <w:tcW w:w="13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1.商品摄影与图片处理</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2.商品详情描述</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3.平面设计</w:t>
            </w:r>
          </w:p>
        </w:tc>
        <w:tc>
          <w:tcPr>
            <w:tcW w:w="553"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崇文楼406室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4</w:t>
            </w:r>
          </w:p>
        </w:tc>
        <w:tc>
          <w:tcPr>
            <w:tcW w:w="782"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网络营销推广实训室</w:t>
            </w:r>
          </w:p>
        </w:tc>
        <w:tc>
          <w:tcPr>
            <w:tcW w:w="460"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校内</w:t>
            </w:r>
          </w:p>
        </w:tc>
        <w:tc>
          <w:tcPr>
            <w:tcW w:w="11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1.台式计算机</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2.多媒体投影、功放、话筒1套</w:t>
            </w:r>
          </w:p>
        </w:tc>
        <w:tc>
          <w:tcPr>
            <w:tcW w:w="42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53</w:t>
            </w:r>
          </w:p>
        </w:tc>
        <w:tc>
          <w:tcPr>
            <w:tcW w:w="13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1.CMS营销型网站建设</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2.微信平台营销</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3.网络整合营销综合实务</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4.百度推广实训等</w:t>
            </w:r>
          </w:p>
        </w:tc>
        <w:tc>
          <w:tcPr>
            <w:tcW w:w="553"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崇文楼409室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5</w:t>
            </w:r>
          </w:p>
        </w:tc>
        <w:tc>
          <w:tcPr>
            <w:tcW w:w="782"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商务数据分析实训中心</w:t>
            </w:r>
          </w:p>
        </w:tc>
        <w:tc>
          <w:tcPr>
            <w:tcW w:w="460"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校内</w:t>
            </w:r>
          </w:p>
        </w:tc>
        <w:tc>
          <w:tcPr>
            <w:tcW w:w="11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1.台式电脑：100套</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2.计算机（服务器）：2套</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3.电子版白2台套</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4.多媒体投影、功放、话筒1套</w:t>
            </w:r>
          </w:p>
        </w:tc>
        <w:tc>
          <w:tcPr>
            <w:tcW w:w="42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102</w:t>
            </w:r>
          </w:p>
        </w:tc>
        <w:tc>
          <w:tcPr>
            <w:tcW w:w="13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1.商务数据采集与处理</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2.数据分析</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3.线上/线下营销活动策划</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4.客户开发</w:t>
            </w:r>
          </w:p>
        </w:tc>
        <w:tc>
          <w:tcPr>
            <w:tcW w:w="553"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崇文楼510-511室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6</w:t>
            </w:r>
          </w:p>
        </w:tc>
        <w:tc>
          <w:tcPr>
            <w:tcW w:w="782"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直播电商实训中心</w:t>
            </w:r>
          </w:p>
        </w:tc>
        <w:tc>
          <w:tcPr>
            <w:tcW w:w="460"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校内</w:t>
            </w:r>
          </w:p>
        </w:tc>
        <w:tc>
          <w:tcPr>
            <w:tcW w:w="11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1.直播手机支架15部</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2.灯光设备13套</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3.台式电脑13台</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4.直播绿幕、摄像头、话筒等14套</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5.横屏广告机10套</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6.交互智能平台1套</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7.录播播录像设备台1套</w:t>
            </w:r>
          </w:p>
        </w:tc>
        <w:tc>
          <w:tcPr>
            <w:tcW w:w="42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66</w:t>
            </w:r>
          </w:p>
        </w:tc>
        <w:tc>
          <w:tcPr>
            <w:tcW w:w="13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1.直播</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2.短视频拍摄</w:t>
            </w:r>
          </w:p>
        </w:tc>
        <w:tc>
          <w:tcPr>
            <w:tcW w:w="553"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崇文楼106-118室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7</w:t>
            </w:r>
          </w:p>
        </w:tc>
        <w:tc>
          <w:tcPr>
            <w:tcW w:w="782"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工业研学实训室</w:t>
            </w:r>
          </w:p>
        </w:tc>
        <w:tc>
          <w:tcPr>
            <w:tcW w:w="460"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校内</w:t>
            </w:r>
          </w:p>
        </w:tc>
        <w:tc>
          <w:tcPr>
            <w:tcW w:w="11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1.台式计算机：2套</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2.灯光设备1套</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3.无线麦克风、摄像头、绿幕1套</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4.投影仪及幕布1套</w:t>
            </w:r>
          </w:p>
          <w:p>
            <w:pPr>
              <w:jc w:val="center"/>
              <w:rPr>
                <w:rFonts w:hint="eastAsia" w:ascii="仿宋_GB2312" w:hAnsi="仿宋_GB2312" w:eastAsia="仿宋_GB2312" w:cs="仿宋_GB2312"/>
                <w:sz w:val="20"/>
                <w:szCs w:val="20"/>
              </w:rPr>
            </w:pPr>
          </w:p>
        </w:tc>
        <w:tc>
          <w:tcPr>
            <w:tcW w:w="42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5</w:t>
            </w:r>
          </w:p>
        </w:tc>
        <w:tc>
          <w:tcPr>
            <w:tcW w:w="13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1.直播预热短视频拍摄</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2.品牌营销</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3.品牌推广策划</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4.直播带货实操</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5.直播运营</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6.直播营销策划</w:t>
            </w:r>
          </w:p>
        </w:tc>
        <w:tc>
          <w:tcPr>
            <w:tcW w:w="553"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崇文楼105室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8</w:t>
            </w:r>
          </w:p>
        </w:tc>
        <w:tc>
          <w:tcPr>
            <w:tcW w:w="782"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云数据分析及管理实训室</w:t>
            </w:r>
          </w:p>
        </w:tc>
        <w:tc>
          <w:tcPr>
            <w:tcW w:w="460"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校内</w:t>
            </w:r>
          </w:p>
        </w:tc>
        <w:tc>
          <w:tcPr>
            <w:tcW w:w="11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1.台式电脑：45套</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2.多媒体投影、功放、话筒1套</w:t>
            </w:r>
          </w:p>
        </w:tc>
        <w:tc>
          <w:tcPr>
            <w:tcW w:w="42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45</w:t>
            </w:r>
          </w:p>
        </w:tc>
        <w:tc>
          <w:tcPr>
            <w:tcW w:w="13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1.网络推广促销</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2.商务数据分析</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3.网店店长经营</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4.短视频营销广告制作</w:t>
            </w:r>
          </w:p>
        </w:tc>
        <w:tc>
          <w:tcPr>
            <w:tcW w:w="553"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崇文楼407室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9</w:t>
            </w:r>
          </w:p>
        </w:tc>
        <w:tc>
          <w:tcPr>
            <w:tcW w:w="782"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企业经营管理实训室</w:t>
            </w:r>
          </w:p>
        </w:tc>
        <w:tc>
          <w:tcPr>
            <w:tcW w:w="460"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校内</w:t>
            </w:r>
          </w:p>
        </w:tc>
        <w:tc>
          <w:tcPr>
            <w:tcW w:w="11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1.台式计算机24套</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2.多媒体投影、功放、话筒1套</w:t>
            </w:r>
          </w:p>
        </w:tc>
        <w:tc>
          <w:tcPr>
            <w:tcW w:w="42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24</w:t>
            </w:r>
          </w:p>
        </w:tc>
        <w:tc>
          <w:tcPr>
            <w:tcW w:w="13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1.市场营销模拟</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2.企业生产与运作模拟</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3.企业信息分析及决策模拟</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4.物流信息系统模拟</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5.企业经营管理沙盘模拟训练</w:t>
            </w:r>
          </w:p>
        </w:tc>
        <w:tc>
          <w:tcPr>
            <w:tcW w:w="553"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崇文楼413室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10</w:t>
            </w:r>
          </w:p>
        </w:tc>
        <w:tc>
          <w:tcPr>
            <w:tcW w:w="782"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校企共建直播营销实训室</w:t>
            </w:r>
          </w:p>
        </w:tc>
        <w:tc>
          <w:tcPr>
            <w:tcW w:w="460"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校内</w:t>
            </w:r>
          </w:p>
        </w:tc>
        <w:tc>
          <w:tcPr>
            <w:tcW w:w="11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1.交互智能平板1套</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2.直播设备1套</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3.直播手机2套</w:t>
            </w:r>
          </w:p>
        </w:tc>
        <w:tc>
          <w:tcPr>
            <w:tcW w:w="42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4</w:t>
            </w:r>
          </w:p>
        </w:tc>
        <w:tc>
          <w:tcPr>
            <w:tcW w:w="13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1.直播带货实操</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2.搜索引擎营销</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3.短视频营销</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4.直播营销</w:t>
            </w:r>
          </w:p>
        </w:tc>
        <w:tc>
          <w:tcPr>
            <w:tcW w:w="553"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崇文楼414室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11</w:t>
            </w:r>
          </w:p>
        </w:tc>
        <w:tc>
          <w:tcPr>
            <w:tcW w:w="782"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直播营销工作室</w:t>
            </w:r>
          </w:p>
        </w:tc>
        <w:tc>
          <w:tcPr>
            <w:tcW w:w="460"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校内</w:t>
            </w:r>
          </w:p>
        </w:tc>
        <w:tc>
          <w:tcPr>
            <w:tcW w:w="11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1.无线麦克风1套</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2.数码相机1套</w:t>
            </w:r>
          </w:p>
        </w:tc>
        <w:tc>
          <w:tcPr>
            <w:tcW w:w="42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2</w:t>
            </w:r>
          </w:p>
        </w:tc>
        <w:tc>
          <w:tcPr>
            <w:tcW w:w="13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1.直播带货营销</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2.品牌营销</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3.战略性市场营销策划</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4.品牌推广策划</w:t>
            </w:r>
          </w:p>
        </w:tc>
        <w:tc>
          <w:tcPr>
            <w:tcW w:w="553"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崇文楼415室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12</w:t>
            </w:r>
          </w:p>
        </w:tc>
        <w:tc>
          <w:tcPr>
            <w:tcW w:w="782"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商务谈判室</w:t>
            </w:r>
          </w:p>
        </w:tc>
        <w:tc>
          <w:tcPr>
            <w:tcW w:w="460"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校内</w:t>
            </w:r>
          </w:p>
        </w:tc>
        <w:tc>
          <w:tcPr>
            <w:tcW w:w="11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1.台式计算机1</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2.多媒体投影、功放、话筒1套</w:t>
            </w:r>
          </w:p>
        </w:tc>
        <w:tc>
          <w:tcPr>
            <w:tcW w:w="42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2</w:t>
            </w:r>
          </w:p>
        </w:tc>
        <w:tc>
          <w:tcPr>
            <w:tcW w:w="13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1.营销诊断</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2.产品全渠道策划</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3.采购谈判</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4.新媒体运营实训</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5.商务礼仪训练</w:t>
            </w:r>
          </w:p>
        </w:tc>
        <w:tc>
          <w:tcPr>
            <w:tcW w:w="553"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崇文楼509室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13</w:t>
            </w:r>
          </w:p>
        </w:tc>
        <w:tc>
          <w:tcPr>
            <w:tcW w:w="782"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营销策划室</w:t>
            </w:r>
          </w:p>
        </w:tc>
        <w:tc>
          <w:tcPr>
            <w:tcW w:w="460"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校内</w:t>
            </w:r>
          </w:p>
        </w:tc>
        <w:tc>
          <w:tcPr>
            <w:tcW w:w="11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1.台式计算机</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2.多媒体投影、功放、话筒1套</w:t>
            </w:r>
          </w:p>
        </w:tc>
        <w:tc>
          <w:tcPr>
            <w:tcW w:w="42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53</w:t>
            </w:r>
          </w:p>
        </w:tc>
        <w:tc>
          <w:tcPr>
            <w:tcW w:w="13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1.市场调研</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2.客户开发</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3.促销策划</w:t>
            </w:r>
          </w:p>
        </w:tc>
        <w:tc>
          <w:tcPr>
            <w:tcW w:w="553"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崇文楼410室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14</w:t>
            </w:r>
          </w:p>
        </w:tc>
        <w:tc>
          <w:tcPr>
            <w:tcW w:w="782"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客户访谈实训室</w:t>
            </w:r>
          </w:p>
        </w:tc>
        <w:tc>
          <w:tcPr>
            <w:tcW w:w="460"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校内</w:t>
            </w:r>
          </w:p>
        </w:tc>
        <w:tc>
          <w:tcPr>
            <w:tcW w:w="11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1.台式计算机</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2.多媒体投影、功放、话筒1套</w:t>
            </w:r>
          </w:p>
        </w:tc>
        <w:tc>
          <w:tcPr>
            <w:tcW w:w="42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2</w:t>
            </w:r>
          </w:p>
        </w:tc>
        <w:tc>
          <w:tcPr>
            <w:tcW w:w="13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1.产品推荐会举办</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2.上门推销方案策划</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3.销售现场管理</w:t>
            </w:r>
          </w:p>
        </w:tc>
        <w:tc>
          <w:tcPr>
            <w:tcW w:w="553"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崇文楼420室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15</w:t>
            </w:r>
          </w:p>
        </w:tc>
        <w:tc>
          <w:tcPr>
            <w:tcW w:w="782"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交互式智慧教室</w:t>
            </w:r>
          </w:p>
        </w:tc>
        <w:tc>
          <w:tcPr>
            <w:tcW w:w="460"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校内</w:t>
            </w:r>
          </w:p>
        </w:tc>
        <w:tc>
          <w:tcPr>
            <w:tcW w:w="11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1.录播录像设备1套</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2.交互一体机2套</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3.液晶显示屏6套</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4.多媒体音箱话筒1套</w:t>
            </w:r>
          </w:p>
        </w:tc>
        <w:tc>
          <w:tcPr>
            <w:tcW w:w="42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10</w:t>
            </w:r>
          </w:p>
        </w:tc>
        <w:tc>
          <w:tcPr>
            <w:tcW w:w="13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1.研学旅行策划与管理                                 2.销售管理与团队建设</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3.战略品牌管理                                  4.微课比赛                                   5.短视频制作</w:t>
            </w:r>
          </w:p>
        </w:tc>
        <w:tc>
          <w:tcPr>
            <w:tcW w:w="553"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崇文楼507室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16</w:t>
            </w:r>
          </w:p>
        </w:tc>
        <w:tc>
          <w:tcPr>
            <w:tcW w:w="782"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众创空间</w:t>
            </w:r>
          </w:p>
        </w:tc>
        <w:tc>
          <w:tcPr>
            <w:tcW w:w="460"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校内</w:t>
            </w:r>
          </w:p>
        </w:tc>
        <w:tc>
          <w:tcPr>
            <w:tcW w:w="1136"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交互智能平板</w:t>
            </w:r>
          </w:p>
        </w:tc>
        <w:tc>
          <w:tcPr>
            <w:tcW w:w="421"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1</w:t>
            </w:r>
          </w:p>
        </w:tc>
        <w:tc>
          <w:tcPr>
            <w:tcW w:w="1336"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1.电商模式创新与实践</w:t>
            </w:r>
          </w:p>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2.互联网创业</w:t>
            </w:r>
          </w:p>
        </w:tc>
        <w:tc>
          <w:tcPr>
            <w:tcW w:w="553" w:type="pct"/>
            <w:vAlign w:val="center"/>
          </w:tcPr>
          <w:p>
            <w:pPr>
              <w:jc w:val="center"/>
              <w:rPr>
                <w:rFonts w:hint="eastAsia" w:ascii="仿宋_GB2312" w:hAnsi="仿宋_GB2312" w:eastAsia="仿宋_GB2312" w:cs="仿宋_GB2312"/>
                <w:sz w:val="20"/>
                <w:szCs w:val="20"/>
              </w:rPr>
            </w:pPr>
            <w:r>
              <w:rPr>
                <w:rFonts w:hint="eastAsia" w:ascii="仿宋_GB2312" w:hAnsi="仿宋_GB2312" w:eastAsia="仿宋_GB2312" w:cs="仿宋_GB2312"/>
                <w:bCs/>
                <w:sz w:val="20"/>
                <w:szCs w:val="20"/>
              </w:rPr>
              <w:t>崇文楼101室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1"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17</w:t>
            </w:r>
          </w:p>
        </w:tc>
        <w:tc>
          <w:tcPr>
            <w:tcW w:w="782"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AI数字营销工作室</w:t>
            </w:r>
          </w:p>
        </w:tc>
        <w:tc>
          <w:tcPr>
            <w:tcW w:w="460"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校内</w:t>
            </w:r>
          </w:p>
        </w:tc>
        <w:tc>
          <w:tcPr>
            <w:tcW w:w="1136" w:type="pct"/>
            <w:vAlign w:val="center"/>
          </w:tcPr>
          <w:p>
            <w:pPr>
              <w:jc w:val="left"/>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1.多媒体设备</w:t>
            </w:r>
            <w:r>
              <w:rPr>
                <w:rFonts w:hint="eastAsia" w:ascii="仿宋_GB2312" w:hAnsi="仿宋_GB2312" w:eastAsia="仿宋_GB2312" w:cs="仿宋_GB2312"/>
                <w:bCs/>
                <w:sz w:val="20"/>
                <w:szCs w:val="20"/>
              </w:rPr>
              <w:tab/>
            </w:r>
            <w:r>
              <w:rPr>
                <w:rFonts w:hint="eastAsia" w:ascii="仿宋_GB2312" w:hAnsi="仿宋_GB2312" w:eastAsia="仿宋_GB2312" w:cs="仿宋_GB2312"/>
                <w:bCs/>
                <w:sz w:val="20"/>
                <w:szCs w:val="20"/>
              </w:rPr>
              <w:t>1套</w:t>
            </w:r>
          </w:p>
          <w:p>
            <w:pPr>
              <w:jc w:val="left"/>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2.投影设备</w:t>
            </w:r>
            <w:r>
              <w:rPr>
                <w:rFonts w:hint="eastAsia" w:ascii="仿宋_GB2312" w:hAnsi="仿宋_GB2312" w:eastAsia="仿宋_GB2312" w:cs="仿宋_GB2312"/>
                <w:bCs/>
                <w:sz w:val="20"/>
                <w:szCs w:val="20"/>
              </w:rPr>
              <w:tab/>
            </w:r>
            <w:r>
              <w:rPr>
                <w:rFonts w:hint="eastAsia" w:ascii="仿宋_GB2312" w:hAnsi="仿宋_GB2312" w:eastAsia="仿宋_GB2312" w:cs="仿宋_GB2312"/>
                <w:bCs/>
                <w:sz w:val="20"/>
                <w:szCs w:val="20"/>
              </w:rPr>
              <w:t>1套</w:t>
            </w:r>
          </w:p>
          <w:p>
            <w:pPr>
              <w:jc w:val="left"/>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3.交互式电子白板1套</w:t>
            </w:r>
          </w:p>
          <w:p>
            <w:pPr>
              <w:jc w:val="left"/>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4.台式电脑10套</w:t>
            </w:r>
          </w:p>
          <w:p>
            <w:pPr>
              <w:jc w:val="left"/>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5.电脑桌椅10套</w:t>
            </w:r>
          </w:p>
          <w:p>
            <w:pPr>
              <w:jc w:val="left"/>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6.常用办公软件及7.专业软件10套</w:t>
            </w:r>
          </w:p>
          <w:p>
            <w:pPr>
              <w:jc w:val="left"/>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8.无线路由器</w:t>
            </w:r>
            <w:r>
              <w:rPr>
                <w:rFonts w:hint="eastAsia" w:ascii="仿宋_GB2312" w:hAnsi="仿宋_GB2312" w:eastAsia="仿宋_GB2312" w:cs="仿宋_GB2312"/>
                <w:bCs/>
                <w:sz w:val="20"/>
                <w:szCs w:val="20"/>
              </w:rPr>
              <w:tab/>
            </w:r>
            <w:r>
              <w:rPr>
                <w:rFonts w:hint="eastAsia" w:ascii="仿宋_GB2312" w:hAnsi="仿宋_GB2312" w:eastAsia="仿宋_GB2312" w:cs="仿宋_GB2312"/>
                <w:bCs/>
                <w:sz w:val="20"/>
                <w:szCs w:val="20"/>
              </w:rPr>
              <w:t>2个</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9.交换机</w:t>
            </w:r>
            <w:r>
              <w:rPr>
                <w:rFonts w:hint="eastAsia" w:ascii="仿宋_GB2312" w:hAnsi="仿宋_GB2312" w:eastAsia="仿宋_GB2312" w:cs="仿宋_GB2312"/>
                <w:bCs/>
                <w:sz w:val="20"/>
                <w:szCs w:val="20"/>
              </w:rPr>
              <w:tab/>
            </w:r>
            <w:r>
              <w:rPr>
                <w:rFonts w:hint="eastAsia" w:ascii="仿宋_GB2312" w:hAnsi="仿宋_GB2312" w:eastAsia="仿宋_GB2312" w:cs="仿宋_GB2312"/>
                <w:bCs/>
                <w:sz w:val="20"/>
                <w:szCs w:val="20"/>
              </w:rPr>
              <w:t>1套</w:t>
            </w:r>
          </w:p>
        </w:tc>
        <w:tc>
          <w:tcPr>
            <w:tcW w:w="421"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10</w:t>
            </w:r>
          </w:p>
        </w:tc>
        <w:tc>
          <w:tcPr>
            <w:tcW w:w="1336" w:type="pct"/>
            <w:vAlign w:val="center"/>
          </w:tcPr>
          <w:p>
            <w:pP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1.短视频创作</w:t>
            </w:r>
          </w:p>
          <w:p>
            <w:pP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2.短视频营销</w:t>
            </w:r>
          </w:p>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3.互联网创业</w:t>
            </w:r>
          </w:p>
        </w:tc>
        <w:tc>
          <w:tcPr>
            <w:tcW w:w="553" w:type="pct"/>
            <w:vAlign w:val="center"/>
          </w:tcPr>
          <w:p>
            <w:pPr>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崇文楼103室</w:t>
            </w:r>
          </w:p>
        </w:tc>
      </w:tr>
    </w:tbl>
    <w:p/>
    <w:p>
      <w:pPr>
        <w:pStyle w:val="3"/>
        <w:ind w:firstLine="562" w:firstLineChars="200"/>
        <w:rPr>
          <w:rFonts w:hint="eastAsia" w:ascii="仿宋_GB2312" w:hAnsi="仿宋_GB2312" w:eastAsia="仿宋_GB2312" w:cs="仿宋_GB2312"/>
          <w:sz w:val="28"/>
          <w:szCs w:val="36"/>
        </w:rPr>
      </w:pPr>
      <w:bookmarkStart w:id="49" w:name="_Toc3807"/>
      <w:r>
        <w:rPr>
          <w:rFonts w:hint="eastAsia" w:ascii="仿宋_GB2312" w:hAnsi="仿宋_GB2312" w:eastAsia="仿宋_GB2312" w:cs="仿宋_GB2312"/>
          <w:sz w:val="28"/>
          <w:szCs w:val="36"/>
        </w:rPr>
        <w:t>（二）结构化教学团队</w:t>
      </w:r>
      <w:bookmarkEnd w:id="49"/>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目前，教学团队现有专任教师26人，师生比为1:15.58，其中正高职称3人，副高职称11人，高级职称占比53.85% ；具有硕士以上研究生学位25人，占比96.15% ；博士学位4人，占比15.38% ；“双师型”教师22人，占比84.62%。兼职教师8名，全部来自企业，兼职教师任专业课课时占比21.71%。1人获“全国优秀教师”荣誉称号，3人获得“柳州市优秀教师”荣誉称号。</w:t>
      </w:r>
    </w:p>
    <w:p/>
    <w:p>
      <w:pPr>
        <w:pStyle w:val="3"/>
        <w:ind w:firstLine="562" w:firstLineChars="200"/>
        <w:rPr>
          <w:rFonts w:hint="eastAsia" w:ascii="仿宋_GB2312" w:hAnsi="仿宋_GB2312" w:eastAsia="仿宋_GB2312" w:cs="仿宋_GB2312"/>
          <w:sz w:val="28"/>
          <w:szCs w:val="36"/>
        </w:rPr>
      </w:pPr>
      <w:bookmarkStart w:id="50" w:name="_Toc27116"/>
      <w:r>
        <w:rPr>
          <w:rFonts w:hint="eastAsia" w:ascii="仿宋_GB2312" w:hAnsi="仿宋_GB2312" w:eastAsia="仿宋_GB2312" w:cs="仿宋_GB2312"/>
          <w:sz w:val="28"/>
          <w:szCs w:val="36"/>
        </w:rPr>
        <w:t>（三）教学资源</w:t>
      </w:r>
      <w:bookmarkEnd w:id="50"/>
    </w:p>
    <w:p>
      <w:pPr>
        <w:pStyle w:val="7"/>
        <w:adjustRightInd w:val="0"/>
        <w:snapToGrid w:val="0"/>
        <w:spacing w:line="360" w:lineRule="auto"/>
        <w:outlineLvl w:val="1"/>
        <w:rPr>
          <w:rFonts w:hint="eastAsia" w:ascii="仿宋" w:hAnsi="仿宋" w:eastAsia="仿宋" w:cs="仿宋"/>
        </w:rPr>
      </w:pPr>
      <w:r>
        <w:rPr>
          <w:rFonts w:hint="eastAsia" w:ascii="仿宋" w:hAnsi="仿宋" w:eastAsia="仿宋" w:cs="仿宋"/>
        </w:rPr>
        <w:t>跨境电子商务专业教学资源为专业课程体系的实施提供支撑和保障，主要包括校级电子商务专业教学资源库、图书及数字化资源等。</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1.教材选用基本要求</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应确保教材内容与行业标准、教学目标和学生需求相匹配，同时要注重教材的实用性、时效性和创新性。以下是具体的教材选用基本要求：</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(1)与行业标准和岗位要求对接</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选用教材应与跨境电子商务行业的最新标准和岗位需求相符合，确保教学内容紧贴行业发展。优先考虑那些经过行业专家审定或推荐的教材，以确保教材内容的权威性和适用性。</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(2)与教学目标和课程体系相协调</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教材内容应与课程的教学目标相一致，有助于实现课程目标。教材应覆盖课程大纲所规定的所有知识点和能力点，确保教学的完整性和系统性。</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(3)实用性和可操作性</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选用教材应具有鲜明的实用性和可操作性，能够指导学生的实际应用。教材应包含丰富的案例分析、实操练习和案例分析，帮助学生理解和掌握跨境电子商务的实际操作技能。</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(4)时效性和前瞻性</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教材内容应保持时效性，及时反映跨境电子商务领域的最新发展和变化。选用教材时应考虑其前瞻性，引入新兴技术和前沿理念，为学生提供未来发展的视角。</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(5)创新性和拓展性</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鼓励选用具有创新性的教材，能够激发学生的创新思维和探索精神。教材应具有一定的拓展性，为学生提供进一步学习和研究的空间。</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(6)适合学生认知水平</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教材的难度和深度应符合高职学生的认知水平和学习能力。教材的语言应通俗易懂，图表和案例应清晰明了，便于学生理解。</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(7)版权和来源合规</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选用教材应确保版权合法，避免使用未经授权的教材。优先选择正规出版社出版的教材，确保教材质量和内容的准确性。</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2.图书文献配备基本要求</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为了确保学生能够获得充足、适用的学习材料，以支持他们的学习和发展。以下是图书文献配备的基本要求：</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(1)与课程内容和教学目标相符</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图书文献应与课程的教学大纲和目标保持一致，覆盖所有必要的知识点。文献资料应包括最新的电子商务研究、案例分析、市场趋势等，以保持教学内容的前沿性。</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(2)多样性和丰富性</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提供多种类型和格式的图书文献，包括教科书、参考书、期刊文章、网络资源等，以满足不同学习风格的需求。确保文献来源的多样性，包括国内外出版物、行业报告、政府统计数据等。</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(3)适用性和可读性</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图书文献的内容应适合高职学生的认知水平和学习需求，避免过于复杂或深奥的材料。语言表达应清晰、准确，图表和插图应辅助理解，提高文献的可读性。</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(4)及时更新和补充</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定期检查和更新图书文献，确保信息的时效性和准确性。根据跨境电子商务领域的新发展、新技术和新趋势，及时补充相关文献资料。</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(5)便于获取和使用</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建立完善的图书文献检索系统，方便学生和教师快速找到所需资料。提供电子图书和在线数据库的访问权限，支持远程学习和研究。</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(6)版权和许可合规</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确保所有图书文献的使用遵守版权法和相关法律法规。对于受版权保护的资料，应提供合法的复制或访问许可。</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(7)促进自主学习和研究</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鼓励学生利用图书文献资源进行自主学习和扩展研究。提供导读服务、文献检索培训等，帮助学生有效利用图书文献资源。</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3.数字教学资源配置基本要求</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数字教学资源配置将为学生提供高效、便捷、丰富的学习体验，支持他们的全面发展，以下是数字教学资源配置的基本要求：</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(1)与教学目标和课程内容相匹配</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数字教学资源应与课程的教学目标和内容紧密相关，能够支持学生的学习活动。资源内容应覆盖课程的所有关键知识点，确保学生能够通过数字资源获得完整的教学内容。</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(2)种类丰富和形式多样</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建设、配备与本专业有关的音视频素材、教学课件、微课、在线课程、数字化教学案例库、虚拟仿真软件、数字教材等数字教学资源，种类丰富、形式多样、使用便捷、动态更新、满足教学。</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(3)互动性和可访问性</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数字教学资源应具备良好的互动性，如在线讨论区、实时投票、抢答等，以促进学生的参与和学习。资源应易于访问和使用，不受特定设备和平台的限制，确保所有学生都能平等获取。</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(4)及时更新和维护</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定期更新数字教学资源，确保其反映最新的行业动态和技术进步。对资源进行持续的维护和优化，以保证其稳定性和功能性。</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(5)安全性和隐私保护</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确保数字教学资源的安全性，防止数据泄露和恶意攻击。遵守相关法律法规，保护学生和教师的个人信息不被滥用。</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(6)促进自主学习和协作</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设计数字教学资源时，应考虑促进学生自主学习和小组协作。提供个性化的学习路径和自定义的学习体验，满足不同学生的学习需求。</w:t>
      </w:r>
    </w:p>
    <w:p>
      <w:pPr>
        <w:pStyle w:val="3"/>
        <w:ind w:firstLine="562" w:firstLineChars="200"/>
        <w:rPr>
          <w:rFonts w:hint="eastAsia" w:ascii="仿宋_GB2312" w:hAnsi="仿宋_GB2312" w:eastAsia="仿宋_GB2312" w:cs="仿宋_GB2312"/>
          <w:sz w:val="28"/>
          <w:szCs w:val="36"/>
        </w:rPr>
      </w:pPr>
      <w:bookmarkStart w:id="51" w:name="_Toc2987"/>
      <w:r>
        <w:rPr>
          <w:rFonts w:hint="eastAsia" w:ascii="仿宋_GB2312" w:hAnsi="仿宋_GB2312" w:eastAsia="仿宋_GB2312" w:cs="仿宋_GB2312"/>
          <w:sz w:val="28"/>
          <w:szCs w:val="36"/>
        </w:rPr>
        <w:t>（四）教学方法</w:t>
      </w:r>
      <w:bookmarkEnd w:id="51"/>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跨境电子商务专业可以在教学方法上实现多样化、创新化，有效提升教学质量和人才培养水平。以下是对实施教学应采用的方法的具体要求和建议：</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1.教学方法选择原则</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以学生为中心：教学方法的选择应以学生的需求和兴趣为导向，激发学生的学习主动性和积极性。</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与教学内容相适应：根据教学内容的性质和特点选择合适的教学方法，确保教学内容与方法的有机结合。</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灵活多样：鼓励采用多种教学方法，丰富教学手段，满足不同学生的学习需求。</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2.教学方法实施建议</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项目教学：通过设计具有实际意义的跨境电子商务项目，让学生在项目实施过程中掌握相关知识和技能。项目教学有助于培养学生的实践能力和团队协作精神。</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案例教学：引入跨境电子商务领域的典型案例，引导学生分析案例背后的原理和方法。案例教学有助于培养学生的批判性思维和问题解决能力。</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情境教学：模拟跨境电子商务实际工作环境，让学生在模拟情境中进行角色扮演和实战演练。情境教学有助于增强学生的感性认识和实际操作能力。</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混合式教学：结合线上与线下教学资源，采用多媒体和网络技术手段辅助教学。混合式教学有助于拓展教学时空，提高教学效果。</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3.推进信息技术与教学有机融合</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数字化教学资源：开发和利用数字化教学资源，如电子课件、网络课程、教学视频等，丰富教学手段。</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教学平台应用：利用教学平台（如慕课平台、在线学习管理系统等）进行课程管理、学习跟踪和评估反馈。</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互动与交流：利用社交媒体、在线论坛等工具促进学生之间的互动和交流，营造良好的学习氛围。</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通过以上要求和实施建议，跨境电子商务专业可以在教学方法上实现多样化、创新化，有效提升教学质量和人才培养水平。</w:t>
      </w:r>
    </w:p>
    <w:p>
      <w:pPr>
        <w:pStyle w:val="3"/>
        <w:ind w:firstLine="562" w:firstLineChars="200"/>
        <w:rPr>
          <w:rFonts w:hint="eastAsia" w:ascii="仿宋_GB2312" w:hAnsi="仿宋_GB2312" w:eastAsia="仿宋_GB2312" w:cs="仿宋_GB2312"/>
          <w:sz w:val="28"/>
          <w:szCs w:val="36"/>
        </w:rPr>
      </w:pPr>
      <w:bookmarkStart w:id="52" w:name="_Toc16360"/>
      <w:r>
        <w:rPr>
          <w:rFonts w:hint="eastAsia" w:ascii="仿宋_GB2312" w:hAnsi="仿宋_GB2312" w:eastAsia="仿宋_GB2312" w:cs="仿宋_GB2312"/>
          <w:sz w:val="28"/>
          <w:szCs w:val="36"/>
        </w:rPr>
        <w:t>（五）学习评价</w:t>
      </w:r>
      <w:bookmarkEnd w:id="52"/>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跨境电子商务专业可以建立一个全面、客观、有效的学习评价体系，以促进学生的全面发展，提高教学质量。对学生学习评价的方式方法有以下要求和建议：</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1.评价内容</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素质评价：评估学生的思想政治素质、职业道德、团队协作精神、沟通能力和创新精神等非学术方面的表现。</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知识评价：考核学生对跨境电子商务专业知识的掌握程度，包括基础理论知识、专业核心课程内容以及行业动态等。</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能力评价：考察学生在实际工作中运用所学知识的能力，如网络营销、数据分析、客户服务、项目管理等方面的技能。</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2.评价方式</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笔试：通过传统的闭卷考试，测试学生对理论知识的掌握程度。建议定期举行，以检查学生的学习进度。</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口试：采用面试、答辩等形式，考察学生的口头表达能力和思维敏捷性。口试可以针对特定主题或项目进行，以评估学生的应变能力。</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项目评价：要求学生完成实际项目，通过项目的实施过程和成果来评价学生的综合能力。项目可以是团队项目或个人项目，涵盖跨境电子商务的各个方面。</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实践活动评价：组织学生参加各类实践活动，如实习、实训、社会调查等，评价学生在实际操作中的表现。实践活动可以帮助学生将理论知识应用于实际工作，提高实践能力。</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3.评价方法</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过程性评价：关注学生在学习过程中的表现，包括课堂参与度、作业完成情况、小组活动表现等。过程性评价有助于及时发现学生的学习问题并提供指导。</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结果性评价：在课程结束时，通过考试、项目报告、实践活动总结等方式，评价学生的学习成果。结果性评价可以全面了解学生的学习情况，为后续教学提供参考。</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4.评价建议</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多元化评价：结合多种评价方式和内容，全面评估学生的学习成果。避免单一评价方式带来的片面性，确保评价结果的客观性和公正性。</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个性化评价：针对学生的个体差异，制定个性化的评价标准和方法。关注学生的特长和兴趣，鼓励其在特定领域发挥优势。</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反馈及时、具体：对学生的学习评价给予及时、具体的反馈，帮助学生认识到自己的优点和不足，为后续学习提供指导。</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持续改进：定期对评价方法和效果进行评估，根据反馈进行必要的调整和改进，以确保评价体系的科学性和有效性。</w:t>
      </w:r>
    </w:p>
    <w:p>
      <w:pPr>
        <w:pStyle w:val="3"/>
        <w:ind w:firstLine="562" w:firstLineChars="200"/>
        <w:rPr>
          <w:rFonts w:hint="eastAsia" w:ascii="仿宋_GB2312" w:hAnsi="仿宋_GB2312" w:eastAsia="仿宋_GB2312" w:cs="仿宋_GB2312"/>
          <w:sz w:val="28"/>
          <w:szCs w:val="36"/>
        </w:rPr>
      </w:pPr>
      <w:bookmarkStart w:id="53" w:name="_Toc47"/>
      <w:r>
        <w:rPr>
          <w:rFonts w:hint="eastAsia" w:ascii="仿宋_GB2312" w:hAnsi="仿宋_GB2312" w:eastAsia="仿宋_GB2312" w:cs="仿宋_GB2312"/>
          <w:sz w:val="28"/>
          <w:szCs w:val="36"/>
        </w:rPr>
        <w:t>（六）质量保障</w:t>
      </w:r>
      <w:bookmarkEnd w:id="53"/>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质量管理是确保人才培养质量的关键环节，以下是有关质量管理的具体要求和建议：</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1.建立专业建设和课程教学质量诊断与改进机制</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定期评估：定期对跨境电子商务专业建设和课程教学质量进行全面评估，识别存在的问题和不足。</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持续改进：根据评估结果，制定并实施改进措施，不断优化专业建设和课程设置。</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内部审核：建立内部审核机制，确保教学质量管理体系的有效运行。</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2.健全专业教学质量监控管理制度</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明确责任：明确各级管理人员和教学人员在教学质量监控中的职责和权限。</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规范流程：制定教学质量监控的标准流程，确保各项工作的规范化和系统化。</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信息公开：公开教学质量监控的相关信息，接受社会监督。</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3.完善教学质量标准建设</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课堂教学质量标准：制定课堂教学的质量标准，包括教学内容、教学方法、教学效果等方面。</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教学评价标准：建立多元化的教学评价体系，明确评价指标和权重，确保评价结果的客观性和公正性。</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实训实习质量标准：制定实训实习的质量标准，确保实践教学环节的质量。</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毕业设计(论文)/职业能力测试质量标准：明确毕业设计和职业能力测试的质量要求，确保学生具备相应的职业技能和素质。</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4.建立毕业生跟踪反馈机制及社会评价机制</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毕业生跟踪调查：定期对毕业生进行跟踪调查，了解其就业情况和职业发展状况。</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社会评价：积极收集用人单位、行业协会等社会组织的评价意见，了解专业人才培养的社会认可度。</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5.利用评价分析结果改进专业教学</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数据分析：对评价结果进行深入分析，找出教学中存在的问题和不足。</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改进措施：根据分析结果，制定针对性的改进措施，优化教学方法和内容。</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效果评估：对改进措施的实施效果进行评估，确保教学质量的持续提升。</w:t>
      </w:r>
    </w:p>
    <w:p>
      <w:pPr>
        <w:pStyle w:val="2"/>
        <w:spacing w:before="40" w:after="40" w:line="360" w:lineRule="auto"/>
        <w:ind w:firstLine="602" w:firstLineChars="200"/>
        <w:rPr>
          <w:rFonts w:hint="eastAsia" w:ascii="黑体" w:hAnsi="黑体" w:eastAsia="黑体" w:cs="黑体"/>
          <w:sz w:val="30"/>
          <w:szCs w:val="30"/>
        </w:rPr>
      </w:pPr>
      <w:bookmarkStart w:id="54" w:name="_Toc27668"/>
      <w:r>
        <w:rPr>
          <w:rFonts w:hint="eastAsia" w:ascii="黑体" w:hAnsi="黑体" w:eastAsia="黑体" w:cs="黑体"/>
          <w:sz w:val="30"/>
          <w:szCs w:val="30"/>
        </w:rPr>
        <w:t>九、毕业要求及学位授予</w:t>
      </w:r>
      <w:bookmarkEnd w:id="54"/>
    </w:p>
    <w:p>
      <w:pPr>
        <w:pStyle w:val="3"/>
        <w:ind w:firstLine="562" w:firstLineChars="200"/>
        <w:rPr>
          <w:rFonts w:hint="eastAsia" w:ascii="仿宋_GB2312" w:hAnsi="仿宋_GB2312" w:eastAsia="仿宋_GB2312" w:cs="仿宋_GB2312"/>
          <w:sz w:val="28"/>
          <w:szCs w:val="36"/>
        </w:rPr>
      </w:pPr>
      <w:bookmarkStart w:id="55" w:name="_Toc5931"/>
      <w:r>
        <w:rPr>
          <w:rFonts w:hint="eastAsia" w:ascii="仿宋_GB2312" w:hAnsi="仿宋_GB2312" w:eastAsia="仿宋_GB2312" w:cs="仿宋_GB2312"/>
          <w:sz w:val="28"/>
          <w:szCs w:val="36"/>
        </w:rPr>
        <w:t>（一）毕业要求</w:t>
      </w:r>
      <w:bookmarkEnd w:id="55"/>
    </w:p>
    <w:p>
      <w:pPr>
        <w:spacing w:line="596" w:lineRule="exact"/>
        <w:ind w:firstLine="560" w:firstLineChars="200"/>
        <w:rPr>
          <w:rFonts w:hint="eastAsia" w:ascii="仿宋" w:hAnsi="仿宋" w:eastAsia="仿宋" w:cs="仿宋"/>
          <w:sz w:val="28"/>
          <w:szCs w:val="28"/>
        </w:rPr>
      </w:pPr>
      <w:r>
        <w:rPr>
          <w:rFonts w:ascii="仿宋" w:hAnsi="仿宋" w:eastAsia="仿宋" w:cs="仿宋"/>
          <w:sz w:val="28"/>
          <w:szCs w:val="28"/>
        </w:rPr>
        <w:t>学生在规定的学习年限内修满人才培养方案规定的各教学模块的学分，总学分达到</w:t>
      </w:r>
      <w:r>
        <w:rPr>
          <w:rFonts w:hint="eastAsia" w:ascii="仿宋" w:hAnsi="仿宋" w:eastAsia="仿宋" w:cs="仿宋"/>
          <w:sz w:val="28"/>
          <w:szCs w:val="28"/>
        </w:rPr>
        <w:t>170</w:t>
      </w:r>
      <w:r>
        <w:rPr>
          <w:rFonts w:ascii="仿宋" w:hAnsi="仿宋" w:eastAsia="仿宋" w:cs="仿宋"/>
          <w:sz w:val="28"/>
          <w:szCs w:val="28"/>
        </w:rPr>
        <w:t>学分，其中各类必修学分达到</w:t>
      </w:r>
      <w:r>
        <w:rPr>
          <w:rFonts w:hint="eastAsia" w:ascii="仿宋" w:hAnsi="仿宋" w:eastAsia="仿宋" w:cs="仿宋"/>
          <w:sz w:val="28"/>
          <w:szCs w:val="28"/>
        </w:rPr>
        <w:t>140</w:t>
      </w:r>
      <w:r>
        <w:rPr>
          <w:rFonts w:ascii="仿宋" w:hAnsi="仿宋" w:eastAsia="仿宋" w:cs="仿宋"/>
          <w:sz w:val="28"/>
          <w:szCs w:val="28"/>
        </w:rPr>
        <w:t>学分，选修学分达到</w:t>
      </w:r>
      <w:r>
        <w:rPr>
          <w:rFonts w:hint="eastAsia" w:ascii="仿宋" w:hAnsi="仿宋" w:eastAsia="仿宋" w:cs="仿宋"/>
          <w:sz w:val="28"/>
          <w:szCs w:val="28"/>
        </w:rPr>
        <w:t>30</w:t>
      </w:r>
      <w:r>
        <w:rPr>
          <w:rFonts w:ascii="仿宋" w:hAnsi="仿宋" w:eastAsia="仿宋" w:cs="仿宋"/>
          <w:sz w:val="28"/>
          <w:szCs w:val="28"/>
        </w:rPr>
        <w:t>学分以上，第二课堂活动分</w:t>
      </w:r>
      <w:r>
        <w:rPr>
          <w:rFonts w:hint="eastAsia" w:ascii="仿宋" w:hAnsi="仿宋" w:eastAsia="仿宋" w:cs="仿宋"/>
          <w:sz w:val="28"/>
          <w:szCs w:val="28"/>
        </w:rPr>
        <w:t>180</w:t>
      </w:r>
      <w:r>
        <w:rPr>
          <w:rFonts w:ascii="仿宋" w:hAnsi="仿宋" w:eastAsia="仿宋" w:cs="仿宋"/>
          <w:sz w:val="28"/>
          <w:szCs w:val="28"/>
        </w:rPr>
        <w:t xml:space="preserve"> </w:t>
      </w:r>
      <w:r>
        <w:rPr>
          <w:rFonts w:hint="eastAsia" w:ascii="仿宋" w:hAnsi="仿宋" w:eastAsia="仿宋" w:cs="仿宋"/>
          <w:sz w:val="28"/>
          <w:szCs w:val="28"/>
        </w:rPr>
        <w:t>分，准予</w:t>
      </w:r>
      <w:r>
        <w:rPr>
          <w:rFonts w:ascii="仿宋" w:hAnsi="仿宋" w:eastAsia="仿宋" w:cs="仿宋"/>
          <w:sz w:val="28"/>
          <w:szCs w:val="28"/>
        </w:rPr>
        <w:t>毕业。</w:t>
      </w:r>
    </w:p>
    <w:p>
      <w:pPr>
        <w:pStyle w:val="3"/>
        <w:ind w:firstLine="562" w:firstLineChars="200"/>
        <w:rPr>
          <w:rFonts w:hint="eastAsia" w:ascii="仿宋_GB2312" w:hAnsi="仿宋_GB2312" w:eastAsia="仿宋_GB2312" w:cs="仿宋_GB2312"/>
          <w:sz w:val="28"/>
          <w:szCs w:val="36"/>
        </w:rPr>
      </w:pPr>
      <w:bookmarkStart w:id="56" w:name="_Toc10945"/>
      <w:r>
        <w:rPr>
          <w:rFonts w:hint="eastAsia" w:ascii="仿宋_GB2312" w:hAnsi="仿宋_GB2312" w:eastAsia="仿宋_GB2312" w:cs="仿宋_GB2312"/>
          <w:sz w:val="28"/>
          <w:szCs w:val="36"/>
        </w:rPr>
        <w:t>（二）学位授予</w:t>
      </w:r>
      <w:bookmarkEnd w:id="56"/>
    </w:p>
    <w:p>
      <w:pPr>
        <w:spacing w:line="596" w:lineRule="exact"/>
        <w:ind w:firstLine="560" w:firstLineChars="200"/>
        <w:rPr>
          <w:rFonts w:hint="eastAsia" w:ascii="仿宋" w:hAnsi="仿宋" w:eastAsia="仿宋" w:cs="仿宋"/>
          <w:sz w:val="28"/>
          <w:szCs w:val="28"/>
        </w:rPr>
      </w:pPr>
      <w:r>
        <w:rPr>
          <w:rFonts w:ascii="仿宋" w:hAnsi="仿宋" w:eastAsia="仿宋" w:cs="仿宋"/>
          <w:sz w:val="28"/>
          <w:szCs w:val="28"/>
        </w:rPr>
        <w:t>符合</w:t>
      </w:r>
      <w:r>
        <w:rPr>
          <w:rFonts w:hint="eastAsia" w:ascii="仿宋" w:hAnsi="仿宋" w:eastAsia="仿宋" w:cs="仿宋"/>
          <w:sz w:val="28"/>
          <w:szCs w:val="28"/>
        </w:rPr>
        <w:t>授予学位要求的</w:t>
      </w:r>
      <w:r>
        <w:rPr>
          <w:rFonts w:ascii="仿宋" w:hAnsi="仿宋" w:eastAsia="仿宋" w:cs="仿宋"/>
          <w:sz w:val="28"/>
          <w:szCs w:val="28"/>
        </w:rPr>
        <w:t>毕业生授予</w:t>
      </w:r>
      <w:r>
        <w:rPr>
          <w:rFonts w:hint="eastAsia" w:ascii="仿宋" w:hAnsi="仿宋" w:eastAsia="仿宋" w:cs="仿宋"/>
          <w:sz w:val="28"/>
          <w:szCs w:val="28"/>
        </w:rPr>
        <w:t>管理学</w:t>
      </w:r>
      <w:r>
        <w:rPr>
          <w:rFonts w:ascii="仿宋" w:hAnsi="仿宋" w:eastAsia="仿宋" w:cs="仿宋"/>
          <w:sz w:val="28"/>
          <w:szCs w:val="28"/>
        </w:rPr>
        <w:t>学士学位</w:t>
      </w:r>
      <w:r>
        <w:rPr>
          <w:rFonts w:hint="eastAsia" w:ascii="仿宋" w:hAnsi="仿宋" w:eastAsia="仿宋" w:cs="仿宋"/>
          <w:sz w:val="28"/>
          <w:szCs w:val="28"/>
        </w:rPr>
        <w:t>。</w:t>
      </w:r>
    </w:p>
    <w:p>
      <w:pPr>
        <w:pStyle w:val="2"/>
        <w:spacing w:before="40" w:after="40" w:line="360" w:lineRule="auto"/>
        <w:ind w:firstLine="602" w:firstLineChars="200"/>
        <w:rPr>
          <w:rFonts w:hint="eastAsia" w:ascii="黑体" w:hAnsi="黑体" w:eastAsia="黑体" w:cs="黑体"/>
          <w:sz w:val="30"/>
          <w:szCs w:val="30"/>
        </w:rPr>
      </w:pPr>
      <w:bookmarkStart w:id="57" w:name="_Toc19930"/>
      <w:r>
        <w:rPr>
          <w:rFonts w:hint="eastAsia" w:ascii="黑体" w:hAnsi="黑体" w:eastAsia="黑体" w:cs="黑体"/>
          <w:sz w:val="30"/>
          <w:szCs w:val="30"/>
        </w:rPr>
        <w:t>十、附录</w:t>
      </w:r>
      <w:bookmarkEnd w:id="57"/>
    </w:p>
    <w:p>
      <w:pPr>
        <w:pStyle w:val="3"/>
        <w:ind w:firstLine="562" w:firstLineChars="200"/>
        <w:rPr>
          <w:rFonts w:hint="eastAsia" w:ascii="仿宋_GB2312" w:hAnsi="仿宋_GB2312" w:eastAsia="仿宋_GB2312" w:cs="仿宋_GB2312"/>
          <w:sz w:val="28"/>
          <w:szCs w:val="36"/>
        </w:rPr>
      </w:pPr>
      <w:bookmarkStart w:id="58" w:name="_Toc13743"/>
      <w:r>
        <w:rPr>
          <w:rFonts w:hint="eastAsia" w:ascii="仿宋_GB2312" w:hAnsi="仿宋_GB2312" w:eastAsia="仿宋_GB2312" w:cs="仿宋_GB2312"/>
          <w:sz w:val="28"/>
          <w:szCs w:val="36"/>
        </w:rPr>
        <w:t>（一）第一课堂进程安排表</w:t>
      </w:r>
      <w:bookmarkEnd w:id="58"/>
    </w:p>
    <w:p>
      <w:pPr>
        <w:rPr>
          <w:rFonts w:hint="eastAsia" w:ascii="仿宋" w:hAnsi="仿宋" w:eastAsia="仿宋" w:cs="仿宋"/>
          <w:sz w:val="28"/>
          <w:szCs w:val="36"/>
        </w:rPr>
      </w:pPr>
      <w:r>
        <w:rPr>
          <w:rFonts w:hint="eastAsia" w:ascii="仿宋" w:hAnsi="仿宋" w:eastAsia="仿宋" w:cs="仿宋"/>
          <w:sz w:val="28"/>
          <w:szCs w:val="36"/>
        </w:rPr>
        <w:br w:type="page"/>
      </w:r>
    </w:p>
    <w:p>
      <w:pPr>
        <w:sectPr>
          <w:footerReference r:id="rId5" w:type="default"/>
          <w:pgSz w:w="11906" w:h="16838"/>
          <w:pgMar w:top="1440" w:right="1800" w:bottom="1440" w:left="1800" w:header="851" w:footer="992" w:gutter="0"/>
          <w:pgNumType w:fmt="decimal"/>
          <w:cols w:space="425" w:num="1"/>
          <w:docGrid w:type="lines" w:linePitch="312" w:charSpace="0"/>
        </w:sectPr>
      </w:pPr>
    </w:p>
    <w:p>
      <w:pPr>
        <w:jc w:val="center"/>
        <w:rPr>
          <w:b/>
          <w:bCs/>
        </w:rPr>
      </w:pPr>
      <w:r>
        <w:rPr>
          <w:rFonts w:hint="eastAsia"/>
          <w:b/>
          <w:bCs/>
        </w:rPr>
        <w:t>表10-1  第一课堂进程安排表</w:t>
      </w:r>
    </w:p>
    <w:tbl>
      <w:tblPr>
        <w:tblStyle w:val="15"/>
        <w:tblW w:w="15940" w:type="dxa"/>
        <w:jc w:val="center"/>
        <w:tblLayout w:type="autofit"/>
        <w:tblCellMar>
          <w:top w:w="0" w:type="dxa"/>
          <w:left w:w="108" w:type="dxa"/>
          <w:bottom w:w="0" w:type="dxa"/>
          <w:right w:w="108" w:type="dxa"/>
        </w:tblCellMar>
      </w:tblPr>
      <w:tblGrid>
        <w:gridCol w:w="601"/>
        <w:gridCol w:w="862"/>
        <w:gridCol w:w="785"/>
        <w:gridCol w:w="2450"/>
        <w:gridCol w:w="780"/>
        <w:gridCol w:w="1054"/>
        <w:gridCol w:w="986"/>
        <w:gridCol w:w="984"/>
        <w:gridCol w:w="984"/>
        <w:gridCol w:w="636"/>
        <w:gridCol w:w="843"/>
        <w:gridCol w:w="705"/>
        <w:gridCol w:w="646"/>
        <w:gridCol w:w="636"/>
        <w:gridCol w:w="636"/>
        <w:gridCol w:w="599"/>
        <w:gridCol w:w="598"/>
        <w:gridCol w:w="1155"/>
      </w:tblGrid>
      <w:tr>
        <w:tblPrEx>
          <w:tblCellMar>
            <w:top w:w="0" w:type="dxa"/>
            <w:left w:w="108" w:type="dxa"/>
            <w:bottom w:w="0" w:type="dxa"/>
            <w:right w:w="108" w:type="dxa"/>
          </w:tblCellMar>
        </w:tblPrEx>
        <w:trPr>
          <w:trHeight w:val="300" w:hRule="atLeast"/>
          <w:jc w:val="center"/>
        </w:trPr>
        <w:tc>
          <w:tcPr>
            <w:tcW w:w="1468" w:type="dxa"/>
            <w:gridSpan w:val="2"/>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课程模块</w:t>
            </w:r>
          </w:p>
        </w:tc>
        <w:tc>
          <w:tcPr>
            <w:tcW w:w="790"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序号</w:t>
            </w:r>
          </w:p>
        </w:tc>
        <w:tc>
          <w:tcPr>
            <w:tcW w:w="2470"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课程名称</w:t>
            </w:r>
          </w:p>
        </w:tc>
        <w:tc>
          <w:tcPr>
            <w:tcW w:w="783"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总学分</w:t>
            </w:r>
          </w:p>
        </w:tc>
        <w:tc>
          <w:tcPr>
            <w:tcW w:w="1059"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总学时</w:t>
            </w:r>
          </w:p>
        </w:tc>
        <w:tc>
          <w:tcPr>
            <w:tcW w:w="2970" w:type="dxa"/>
            <w:gridSpan w:val="3"/>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 w:val="22"/>
                <w:szCs w:val="22"/>
              </w:rPr>
            </w:pPr>
            <w:r>
              <w:rPr>
                <w:rFonts w:hint="eastAsia" w:ascii="仿宋_GB2312" w:hAnsi="仿宋_GB2312" w:eastAsia="仿宋_GB2312" w:cs="仿宋_GB2312"/>
                <w:b/>
                <w:bCs/>
                <w:color w:val="000000"/>
                <w:kern w:val="0"/>
                <w:sz w:val="22"/>
                <w:szCs w:val="22"/>
                <w:lang w:bidi="ar"/>
              </w:rPr>
              <w:t>学时</w:t>
            </w:r>
          </w:p>
        </w:tc>
        <w:tc>
          <w:tcPr>
            <w:tcW w:w="1469"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第一学年</w:t>
            </w:r>
          </w:p>
        </w:tc>
        <w:tc>
          <w:tcPr>
            <w:tcW w:w="1352"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第二学年</w:t>
            </w:r>
          </w:p>
        </w:tc>
        <w:tc>
          <w:tcPr>
            <w:tcW w:w="1223"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第三学年</w:t>
            </w:r>
          </w:p>
        </w:tc>
        <w:tc>
          <w:tcPr>
            <w:tcW w:w="1199"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第四学年</w:t>
            </w:r>
          </w:p>
        </w:tc>
        <w:tc>
          <w:tcPr>
            <w:tcW w:w="116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备注</w:t>
            </w:r>
          </w:p>
        </w:tc>
      </w:tr>
      <w:tr>
        <w:tblPrEx>
          <w:tblCellMar>
            <w:top w:w="0" w:type="dxa"/>
            <w:left w:w="108" w:type="dxa"/>
            <w:bottom w:w="0" w:type="dxa"/>
            <w:right w:w="108" w:type="dxa"/>
          </w:tblCellMar>
        </w:tblPrEx>
        <w:trPr>
          <w:trHeight w:val="679" w:hRule="atLeast"/>
          <w:jc w:val="center"/>
        </w:trPr>
        <w:tc>
          <w:tcPr>
            <w:tcW w:w="1468" w:type="dxa"/>
            <w:gridSpan w:val="2"/>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c>
          <w:tcPr>
            <w:tcW w:w="790"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c>
          <w:tcPr>
            <w:tcW w:w="2470"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c>
          <w:tcPr>
            <w:tcW w:w="78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c>
          <w:tcPr>
            <w:tcW w:w="105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 w:val="22"/>
                <w:szCs w:val="22"/>
              </w:rPr>
            </w:pPr>
            <w:r>
              <w:rPr>
                <w:rFonts w:hint="eastAsia" w:ascii="仿宋_GB2312" w:hAnsi="仿宋_GB2312" w:eastAsia="仿宋_GB2312" w:cs="仿宋_GB2312"/>
                <w:b/>
                <w:bCs/>
                <w:color w:val="000000"/>
                <w:kern w:val="0"/>
                <w:sz w:val="22"/>
                <w:szCs w:val="22"/>
                <w:lang w:bidi="ar"/>
              </w:rPr>
              <w:t>课内理论</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 w:val="22"/>
                <w:szCs w:val="22"/>
              </w:rPr>
            </w:pPr>
            <w:r>
              <w:rPr>
                <w:rFonts w:hint="eastAsia" w:ascii="仿宋_GB2312" w:hAnsi="仿宋_GB2312" w:eastAsia="仿宋_GB2312" w:cs="仿宋_GB2312"/>
                <w:b/>
                <w:bCs/>
                <w:color w:val="000000"/>
                <w:kern w:val="0"/>
                <w:sz w:val="22"/>
                <w:szCs w:val="22"/>
                <w:lang w:bidi="ar"/>
              </w:rPr>
              <w:t>课内实验/实训</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 w:val="22"/>
                <w:szCs w:val="22"/>
              </w:rPr>
            </w:pPr>
            <w:r>
              <w:rPr>
                <w:rFonts w:hint="eastAsia" w:ascii="仿宋_GB2312" w:hAnsi="仿宋_GB2312" w:eastAsia="仿宋_GB2312" w:cs="仿宋_GB2312"/>
                <w:b/>
                <w:bCs/>
                <w:color w:val="000000"/>
                <w:kern w:val="0"/>
                <w:sz w:val="22"/>
                <w:szCs w:val="22"/>
                <w:lang w:bidi="ar"/>
              </w:rPr>
              <w:t>课外实践教学</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w:t>
            </w:r>
          </w:p>
        </w:tc>
        <w:tc>
          <w:tcPr>
            <w:tcW w:w="8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2</w:t>
            </w: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w:t>
            </w:r>
          </w:p>
        </w:tc>
        <w:tc>
          <w:tcPr>
            <w:tcW w:w="6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4</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5</w:t>
            </w: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6</w:t>
            </w: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7</w:t>
            </w:r>
          </w:p>
        </w:tc>
        <w:tc>
          <w:tcPr>
            <w:tcW w:w="5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8</w:t>
            </w: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r>
      <w:tr>
        <w:tblPrEx>
          <w:tblCellMar>
            <w:top w:w="0" w:type="dxa"/>
            <w:left w:w="108" w:type="dxa"/>
            <w:bottom w:w="0" w:type="dxa"/>
            <w:right w:w="108" w:type="dxa"/>
          </w:tblCellMar>
        </w:tblPrEx>
        <w:trPr>
          <w:trHeight w:val="280" w:hRule="atLeast"/>
          <w:jc w:val="center"/>
        </w:trPr>
        <w:tc>
          <w:tcPr>
            <w:tcW w:w="1468" w:type="dxa"/>
            <w:gridSpan w:val="2"/>
            <w:vMerge w:val="restart"/>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通识必修课程</w:t>
            </w: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军事理论</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22</w:t>
            </w:r>
          </w:p>
        </w:tc>
        <w:tc>
          <w:tcPr>
            <w:tcW w:w="0" w:type="auto"/>
            <w:tcBorders>
              <w:top w:val="nil"/>
              <w:left w:val="nil"/>
              <w:bottom w:val="nil"/>
              <w:right w:val="nil"/>
            </w:tcBorders>
            <w:noWrap/>
            <w:vAlign w:val="center"/>
          </w:tcPr>
          <w:p>
            <w:pPr>
              <w:rPr>
                <w:rFonts w:hint="eastAsia" w:ascii="仿宋_GB2312" w:hAnsi="仿宋_GB2312" w:eastAsia="仿宋_GB2312" w:cs="仿宋_GB2312"/>
                <w:color w:val="000000"/>
                <w:sz w:val="22"/>
                <w:szCs w:val="22"/>
              </w:rPr>
            </w:pP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14</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36</w:t>
            </w: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0" w:type="auto"/>
            <w:tcBorders>
              <w:top w:val="nil"/>
              <w:left w:val="nil"/>
              <w:bottom w:val="nil"/>
              <w:right w:val="nil"/>
            </w:tcBorders>
            <w:noWrap/>
            <w:vAlign w:val="center"/>
          </w:tcPr>
          <w:p>
            <w:pPr>
              <w:rPr>
                <w:rFonts w:hint="eastAsia" w:ascii="仿宋_GB2312" w:hAnsi="仿宋_GB2312" w:eastAsia="仿宋_GB2312" w:cs="仿宋_GB2312"/>
                <w:color w:val="000000"/>
                <w:sz w:val="22"/>
                <w:szCs w:val="22"/>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54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形势与政策（一）-（六）</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18</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8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6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b/>
                <w:bCs/>
                <w:color w:val="000000"/>
                <w:sz w:val="20"/>
                <w:szCs w:val="20"/>
              </w:rPr>
            </w:pPr>
          </w:p>
        </w:tc>
      </w:tr>
      <w:tr>
        <w:tblPrEx>
          <w:tblCellMar>
            <w:top w:w="0" w:type="dxa"/>
            <w:left w:w="108" w:type="dxa"/>
            <w:bottom w:w="0" w:type="dxa"/>
            <w:right w:w="108" w:type="dxa"/>
          </w:tblCellMar>
        </w:tblPrEx>
        <w:trPr>
          <w:trHeight w:val="28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思想道德与法治</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r>
      <w:tr>
        <w:tblPrEx>
          <w:tblCellMar>
            <w:top w:w="0" w:type="dxa"/>
            <w:left w:w="108" w:type="dxa"/>
            <w:bottom w:w="0" w:type="dxa"/>
            <w:right w:w="108" w:type="dxa"/>
          </w:tblCellMar>
        </w:tblPrEx>
        <w:trPr>
          <w:trHeight w:val="28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国家安全教育</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1.5</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w:t>
            </w: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r>
      <w:tr>
        <w:tblPrEx>
          <w:tblCellMar>
            <w:top w:w="0" w:type="dxa"/>
            <w:left w:w="108" w:type="dxa"/>
            <w:bottom w:w="0" w:type="dxa"/>
            <w:right w:w="108" w:type="dxa"/>
          </w:tblCellMar>
        </w:tblPrEx>
        <w:trPr>
          <w:trHeight w:val="28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马克思主义基本原理</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r>
      <w:tr>
        <w:tblPrEx>
          <w:tblCellMar>
            <w:top w:w="0" w:type="dxa"/>
            <w:left w:w="108" w:type="dxa"/>
            <w:bottom w:w="0" w:type="dxa"/>
            <w:right w:w="108" w:type="dxa"/>
          </w:tblCellMar>
        </w:tblPrEx>
        <w:trPr>
          <w:trHeight w:val="28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中国近现代史纲要</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r>
      <w:tr>
        <w:tblPrEx>
          <w:tblCellMar>
            <w:top w:w="0" w:type="dxa"/>
            <w:left w:w="108" w:type="dxa"/>
            <w:bottom w:w="0" w:type="dxa"/>
            <w:right w:w="108" w:type="dxa"/>
          </w:tblCellMar>
        </w:tblPrEx>
        <w:trPr>
          <w:trHeight w:val="54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7</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毛泽东思想和中国特色社会主义理论体系概论</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r>
      <w:tr>
        <w:tblPrEx>
          <w:tblCellMar>
            <w:top w:w="0" w:type="dxa"/>
            <w:left w:w="108" w:type="dxa"/>
            <w:bottom w:w="0" w:type="dxa"/>
            <w:right w:w="108" w:type="dxa"/>
          </w:tblCellMar>
        </w:tblPrEx>
        <w:trPr>
          <w:trHeight w:val="54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习近平新时代中国特色社会主义思想概论</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0" w:type="auto"/>
            <w:tcBorders>
              <w:top w:val="nil"/>
              <w:left w:val="nil"/>
              <w:bottom w:val="nil"/>
              <w:right w:val="nil"/>
            </w:tcBorders>
            <w:noWrap/>
            <w:vAlign w:val="center"/>
          </w:tcPr>
          <w:p>
            <w:pPr>
              <w:rPr>
                <w:rFonts w:hint="eastAsia" w:ascii="仿宋_GB2312" w:hAnsi="仿宋_GB2312" w:eastAsia="仿宋_GB2312" w:cs="仿宋_GB2312"/>
                <w:color w:val="000000"/>
                <w:sz w:val="22"/>
                <w:szCs w:val="22"/>
              </w:rPr>
            </w:pPr>
          </w:p>
        </w:tc>
        <w:tc>
          <w:tcPr>
            <w:tcW w:w="8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r>
      <w:tr>
        <w:tblPrEx>
          <w:tblCellMar>
            <w:top w:w="0" w:type="dxa"/>
            <w:left w:w="108" w:type="dxa"/>
            <w:bottom w:w="0" w:type="dxa"/>
            <w:right w:w="108" w:type="dxa"/>
          </w:tblCellMar>
        </w:tblPrEx>
        <w:trPr>
          <w:trHeight w:val="28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9</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中华民族共同体概论</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r>
      <w:tr>
        <w:tblPrEx>
          <w:tblCellMar>
            <w:top w:w="0" w:type="dxa"/>
            <w:left w:w="108" w:type="dxa"/>
            <w:bottom w:w="0" w:type="dxa"/>
            <w:right w:w="108" w:type="dxa"/>
          </w:tblCellMar>
        </w:tblPrEx>
        <w:trPr>
          <w:trHeight w:val="54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大学生职业发展与就业指导（一）-（二）</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20</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12</w:t>
            </w: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54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11</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大学生创新与创业实务（一）-（二）</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20</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12</w:t>
            </w: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54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大学生安全教育（一）-（六）</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1.5</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12</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12</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w:t>
            </w:r>
          </w:p>
        </w:tc>
        <w:tc>
          <w:tcPr>
            <w:tcW w:w="8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w:t>
            </w: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w:t>
            </w:r>
          </w:p>
        </w:tc>
        <w:tc>
          <w:tcPr>
            <w:tcW w:w="6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w:t>
            </w: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w:t>
            </w: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13</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军事技能</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112</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112</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FF0000"/>
                <w:sz w:val="20"/>
                <w:szCs w:val="20"/>
              </w:rPr>
            </w:pPr>
            <w:r>
              <w:rPr>
                <w:rFonts w:hint="eastAsia" w:ascii="仿宋_GB2312" w:hAnsi="仿宋_GB2312" w:eastAsia="仿宋_GB2312" w:cs="仿宋_GB2312"/>
                <w:color w:val="000000"/>
                <w:kern w:val="0"/>
                <w:sz w:val="20"/>
                <w:szCs w:val="20"/>
                <w:lang w:bidi="ar"/>
              </w:rPr>
              <w:t>112</w:t>
            </w: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54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14</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大学生心理健康教育（一）-（二）</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26</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6</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8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15</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大学体育（一）-（四）</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6</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144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112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36</w:t>
            </w:r>
          </w:p>
        </w:tc>
        <w:tc>
          <w:tcPr>
            <w:tcW w:w="8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36</w:t>
            </w: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36</w:t>
            </w:r>
          </w:p>
        </w:tc>
        <w:tc>
          <w:tcPr>
            <w:tcW w:w="6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36</w:t>
            </w: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艺术修养</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17</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大学英语（一）-（二）</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96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8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18</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信息技术</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36</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0" w:type="auto"/>
            <w:tcBorders>
              <w:top w:val="nil"/>
              <w:left w:val="nil"/>
              <w:bottom w:val="nil"/>
              <w:right w:val="nil"/>
            </w:tcBorders>
            <w:noWrap/>
            <w:vAlign w:val="center"/>
          </w:tcPr>
          <w:p>
            <w:pPr>
              <w:rPr>
                <w:rFonts w:hint="eastAsia" w:ascii="仿宋_GB2312" w:hAnsi="仿宋_GB2312" w:eastAsia="仿宋_GB2312" w:cs="仿宋_GB2312"/>
                <w:color w:val="000000"/>
                <w:sz w:val="22"/>
                <w:szCs w:val="22"/>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19</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精益生产与管理基础</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r>
      <w:tr>
        <w:tblPrEx>
          <w:tblCellMar>
            <w:top w:w="0" w:type="dxa"/>
            <w:left w:w="108" w:type="dxa"/>
            <w:bottom w:w="0" w:type="dxa"/>
            <w:right w:w="108" w:type="dxa"/>
          </w:tblCellMar>
        </w:tblPrEx>
        <w:trPr>
          <w:trHeight w:val="28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nil"/>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20</w:t>
            </w:r>
          </w:p>
        </w:tc>
        <w:tc>
          <w:tcPr>
            <w:tcW w:w="2470" w:type="dxa"/>
            <w:tcBorders>
              <w:top w:val="single" w:color="000000" w:sz="4" w:space="0"/>
              <w:left w:val="single" w:color="000000" w:sz="4" w:space="0"/>
              <w:bottom w:val="nil"/>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人工智能应用基础</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r>
      <w:tr>
        <w:tblPrEx>
          <w:tblCellMar>
            <w:top w:w="0" w:type="dxa"/>
            <w:left w:w="108" w:type="dxa"/>
            <w:bottom w:w="0" w:type="dxa"/>
            <w:right w:w="108" w:type="dxa"/>
          </w:tblCellMar>
        </w:tblPrEx>
        <w:trPr>
          <w:trHeight w:val="280" w:hRule="atLeast"/>
          <w:jc w:val="center"/>
        </w:trPr>
        <w:tc>
          <w:tcPr>
            <w:tcW w:w="1468" w:type="dxa"/>
            <w:gridSpan w:val="2"/>
            <w:vMerge w:val="continue"/>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3260"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小计</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52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980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510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270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200</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244</w:t>
            </w:r>
          </w:p>
        </w:tc>
        <w:tc>
          <w:tcPr>
            <w:tcW w:w="8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224</w:t>
            </w: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184</w:t>
            </w:r>
          </w:p>
        </w:tc>
        <w:tc>
          <w:tcPr>
            <w:tcW w:w="6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112</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76</w:t>
            </w: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28</w:t>
            </w: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5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通识选修课程</w:t>
            </w:r>
          </w:p>
        </w:tc>
        <w:tc>
          <w:tcPr>
            <w:tcW w:w="865" w:type="dxa"/>
            <w:vMerge w:val="restart"/>
            <w:tcBorders>
              <w:top w:val="single" w:color="000000" w:sz="4" w:space="0"/>
              <w:left w:val="single" w:color="000000" w:sz="4" w:space="0"/>
              <w:bottom w:val="nil"/>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限定选修课程</w:t>
            </w:r>
          </w:p>
        </w:tc>
        <w:tc>
          <w:tcPr>
            <w:tcW w:w="790"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四史类</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中国共产党简史</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243" w:type="dxa"/>
            <w:gridSpan w:val="8"/>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至少修得1学分</w:t>
            </w: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社会主义发展史</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243" w:type="dxa"/>
            <w:gridSpan w:val="8"/>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新中国史</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243" w:type="dxa"/>
            <w:gridSpan w:val="8"/>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改革开放史</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243" w:type="dxa"/>
            <w:gridSpan w:val="8"/>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vMerge w:val="restart"/>
            <w:tcBorders>
              <w:top w:val="nil"/>
              <w:left w:val="single" w:color="000000" w:sz="4" w:space="0"/>
              <w:bottom w:val="nil"/>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职业素养类</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中国优秀传统文化</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243" w:type="dxa"/>
            <w:gridSpan w:val="8"/>
            <w:vMerge w:val="restart"/>
            <w:tcBorders>
              <w:top w:val="nil"/>
              <w:left w:val="single" w:color="000000" w:sz="4" w:space="0"/>
              <w:bottom w:val="nil"/>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至少修得1学分</w:t>
            </w:r>
          </w:p>
        </w:tc>
        <w:tc>
          <w:tcPr>
            <w:tcW w:w="1164"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第2学期开设</w:t>
            </w: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vMerge w:val="continue"/>
            <w:tcBorders>
              <w:top w:val="nil"/>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通用礼仪</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243" w:type="dxa"/>
            <w:gridSpan w:val="8"/>
            <w:vMerge w:val="continue"/>
            <w:tcBorders>
              <w:top w:val="nil"/>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vMerge w:val="continue"/>
            <w:tcBorders>
              <w:top w:val="nil"/>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应用文写作</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243" w:type="dxa"/>
            <w:gridSpan w:val="8"/>
            <w:vMerge w:val="continue"/>
            <w:tcBorders>
              <w:top w:val="nil"/>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vMerge w:val="continue"/>
            <w:tcBorders>
              <w:top w:val="nil"/>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2470" w:type="dxa"/>
            <w:tcBorders>
              <w:top w:val="single" w:color="000000" w:sz="4" w:space="0"/>
              <w:left w:val="single" w:color="000000" w:sz="4" w:space="0"/>
              <w:bottom w:val="nil"/>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大学语文</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0" w:type="auto"/>
            <w:tcBorders>
              <w:top w:val="nil"/>
              <w:left w:val="nil"/>
              <w:bottom w:val="nil"/>
              <w:right w:val="nil"/>
            </w:tcBorders>
            <w:noWrap/>
            <w:vAlign w:val="center"/>
          </w:tcPr>
          <w:p>
            <w:pPr>
              <w:widowControl/>
              <w:jc w:val="center"/>
              <w:textAlignment w:val="center"/>
              <w:rPr>
                <w:rFonts w:hint="eastAsia" w:ascii="仿宋_GB2312" w:hAnsi="仿宋_GB2312" w:eastAsia="仿宋_GB2312" w:cs="仿宋_GB2312"/>
                <w:color w:val="000000"/>
                <w:sz w:val="22"/>
                <w:szCs w:val="22"/>
              </w:rPr>
            </w:pPr>
            <w:r>
              <w:rPr>
                <w:rFonts w:hint="eastAsia" w:ascii="仿宋_GB2312" w:hAnsi="仿宋_GB2312" w:eastAsia="仿宋_GB2312" w:cs="仿宋_GB2312"/>
                <w:color w:val="000000"/>
                <w:kern w:val="0"/>
                <w:sz w:val="22"/>
                <w:szCs w:val="22"/>
                <w:lang w:bidi="ar"/>
              </w:rPr>
              <w:t>24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243" w:type="dxa"/>
            <w:gridSpan w:val="8"/>
            <w:vMerge w:val="continue"/>
            <w:tcBorders>
              <w:top w:val="nil"/>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54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任意选修课程</w:t>
            </w:r>
          </w:p>
        </w:tc>
        <w:tc>
          <w:tcPr>
            <w:tcW w:w="7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2470" w:type="dxa"/>
            <w:tcBorders>
              <w:top w:val="single" w:color="000000" w:sz="4" w:space="0"/>
              <w:left w:val="single" w:color="000000" w:sz="4" w:space="0"/>
              <w:bottom w:val="single" w:color="000000" w:sz="4" w:space="0"/>
              <w:right w:val="single" w:color="000000" w:sz="4" w:space="0"/>
            </w:tcBorders>
            <w:vAlign w:val="center"/>
          </w:tcPr>
          <w:p>
            <w:pPr>
              <w:jc w:val="left"/>
              <w:rPr>
                <w:rFonts w:hint="eastAsia" w:ascii="仿宋_GB2312" w:hAnsi="仿宋_GB2312" w:eastAsia="仿宋_GB2312" w:cs="仿宋_GB2312"/>
                <w:color w:val="000000"/>
                <w:szCs w:val="21"/>
              </w:rPr>
            </w:pPr>
          </w:p>
        </w:tc>
        <w:tc>
          <w:tcPr>
            <w:tcW w:w="78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4</w:t>
            </w:r>
          </w:p>
        </w:tc>
        <w:tc>
          <w:tcPr>
            <w:tcW w:w="105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990"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846"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706"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646"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tcBorders>
              <w:top w:val="nil"/>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3260"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小计</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6</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96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52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8</w:t>
            </w: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专业必修课程</w:t>
            </w:r>
          </w:p>
        </w:tc>
        <w:tc>
          <w:tcPr>
            <w:tcW w:w="865"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专业通识课程</w:t>
            </w: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经济数学</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64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58</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6</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64</w:t>
            </w: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left"/>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概率论与数理统计</w:t>
            </w:r>
          </w:p>
        </w:tc>
        <w:tc>
          <w:tcPr>
            <w:tcW w:w="783"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1059"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990"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39</w:t>
            </w:r>
          </w:p>
        </w:tc>
        <w:tc>
          <w:tcPr>
            <w:tcW w:w="990"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9</w:t>
            </w:r>
          </w:p>
        </w:tc>
        <w:tc>
          <w:tcPr>
            <w:tcW w:w="990" w:type="dxa"/>
            <w:tcBorders>
              <w:top w:val="single" w:color="000000" w:sz="4" w:space="0"/>
              <w:left w:val="single" w:color="000000" w:sz="4" w:space="0"/>
              <w:bottom w:val="single" w:color="000000" w:sz="4" w:space="0"/>
              <w:right w:val="single" w:color="000000" w:sz="4" w:space="0"/>
            </w:tcBorders>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jc w:val="center"/>
              <w:rPr>
                <w:rFonts w:hint="eastAsia" w:ascii="仿宋_GB2312" w:hAnsi="仿宋_GB2312" w:eastAsia="仿宋_GB2312" w:cs="仿宋_GB2312"/>
                <w:color w:val="000000"/>
                <w:sz w:val="22"/>
                <w:szCs w:val="22"/>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3260"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小计</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7</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112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97</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15</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64</w:t>
            </w:r>
          </w:p>
        </w:tc>
        <w:tc>
          <w:tcPr>
            <w:tcW w:w="8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6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48</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5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专业基础课程</w:t>
            </w: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jc w:val="left"/>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入学教育与专业入门</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jc w:val="left"/>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国际贸易实务</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nil"/>
              <w:left w:val="nil"/>
              <w:bottom w:val="nil"/>
              <w:right w:val="nil"/>
            </w:tcBorders>
            <w:noWrap/>
            <w:vAlign w:val="center"/>
          </w:tcPr>
          <w:p>
            <w:pPr>
              <w:rPr>
                <w:rFonts w:hint="eastAsia" w:ascii="仿宋_GB2312" w:hAnsi="仿宋_GB2312" w:eastAsia="仿宋_GB2312" w:cs="仿宋_GB2312"/>
                <w:color w:val="000000"/>
                <w:sz w:val="22"/>
                <w:szCs w:val="22"/>
              </w:rPr>
            </w:pP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64</w:t>
            </w: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jc w:val="left"/>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跨境</w:t>
            </w:r>
            <w:r>
              <w:rPr>
                <w:rFonts w:hint="eastAsia" w:ascii="仿宋_GB2312" w:hAnsi="仿宋_GB2312" w:eastAsia="仿宋_GB2312" w:cs="仿宋_GB2312"/>
                <w:color w:val="000000"/>
                <w:kern w:val="0"/>
                <w:szCs w:val="21"/>
                <w:lang w:val="en-US" w:eastAsia="zh-CN" w:bidi="ar"/>
              </w:rPr>
              <w:t>电商</w:t>
            </w:r>
            <w:r>
              <w:rPr>
                <w:rFonts w:hint="eastAsia" w:ascii="仿宋_GB2312" w:hAnsi="仿宋_GB2312" w:eastAsia="仿宋_GB2312" w:cs="仿宋_GB2312"/>
                <w:color w:val="000000"/>
                <w:kern w:val="0"/>
                <w:szCs w:val="21"/>
                <w:lang w:bidi="ar"/>
              </w:rPr>
              <w:t>基础</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jc w:val="left"/>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管理学</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0</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nil"/>
              <w:left w:val="nil"/>
              <w:bottom w:val="nil"/>
              <w:right w:val="nil"/>
            </w:tcBorders>
            <w:noWrap/>
            <w:vAlign w:val="center"/>
          </w:tcPr>
          <w:p>
            <w:pPr>
              <w:rPr>
                <w:rFonts w:hint="eastAsia" w:ascii="仿宋_GB2312" w:hAnsi="仿宋_GB2312" w:eastAsia="仿宋_GB2312" w:cs="仿宋_GB2312"/>
                <w:color w:val="000000"/>
                <w:sz w:val="22"/>
                <w:szCs w:val="22"/>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jc w:val="left"/>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经济学</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0</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nil"/>
              <w:left w:val="nil"/>
              <w:bottom w:val="nil"/>
              <w:right w:val="nil"/>
            </w:tcBorders>
            <w:noWrap/>
            <w:vAlign w:val="center"/>
          </w:tcPr>
          <w:p>
            <w:pPr>
              <w:rPr>
                <w:rFonts w:hint="eastAsia" w:ascii="仿宋_GB2312" w:hAnsi="仿宋_GB2312" w:eastAsia="仿宋_GB2312" w:cs="仿宋_GB2312"/>
                <w:color w:val="000000"/>
                <w:sz w:val="22"/>
                <w:szCs w:val="22"/>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jc w:val="left"/>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东盟语言基础</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7</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jc w:val="left"/>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跨境电商法律法规</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0</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0" w:type="auto"/>
            <w:tcBorders>
              <w:top w:val="single" w:color="000000" w:sz="4" w:space="0"/>
              <w:left w:val="nil"/>
              <w:bottom w:val="single" w:color="000000" w:sz="4" w:space="0"/>
              <w:right w:val="single" w:color="000000" w:sz="4" w:space="0"/>
            </w:tcBorders>
            <w:noWrap/>
            <w:vAlign w:val="center"/>
          </w:tcPr>
          <w:p>
            <w:pPr>
              <w:rPr>
                <w:rFonts w:hint="eastAsia" w:ascii="仿宋_GB2312" w:hAnsi="仿宋_GB2312" w:eastAsia="仿宋_GB2312" w:cs="仿宋_GB2312"/>
                <w:color w:val="000000"/>
                <w:sz w:val="22"/>
                <w:szCs w:val="22"/>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jc w:val="left"/>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跨境电商英语</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64</w:t>
            </w: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nil"/>
              <w:bottom w:val="single" w:color="000000" w:sz="4" w:space="0"/>
              <w:right w:val="single" w:color="000000" w:sz="4" w:space="0"/>
            </w:tcBorders>
            <w:noWrap/>
            <w:vAlign w:val="center"/>
          </w:tcPr>
          <w:p>
            <w:pPr>
              <w:rPr>
                <w:rFonts w:hint="eastAsia" w:ascii="仿宋_GB2312" w:hAnsi="仿宋_GB2312" w:eastAsia="仿宋_GB2312" w:cs="仿宋_GB2312"/>
                <w:color w:val="000000"/>
                <w:sz w:val="22"/>
                <w:szCs w:val="22"/>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9</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jc w:val="left"/>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消费心理学</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nil"/>
              <w:left w:val="nil"/>
              <w:bottom w:val="nil"/>
              <w:right w:val="nil"/>
            </w:tcBorders>
            <w:noWrap/>
            <w:vAlign w:val="center"/>
          </w:tcPr>
          <w:p>
            <w:pPr>
              <w:rPr>
                <w:rFonts w:hint="eastAsia" w:ascii="仿宋_GB2312" w:hAnsi="仿宋_GB2312" w:eastAsia="仿宋_GB2312" w:cs="仿宋_GB2312"/>
                <w:color w:val="000000"/>
                <w:sz w:val="22"/>
                <w:szCs w:val="22"/>
              </w:rPr>
            </w:pPr>
          </w:p>
        </w:tc>
        <w:tc>
          <w:tcPr>
            <w:tcW w:w="6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3260"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小计</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22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352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216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136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48</w:t>
            </w:r>
          </w:p>
        </w:tc>
        <w:tc>
          <w:tcPr>
            <w:tcW w:w="8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96</w:t>
            </w: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96</w:t>
            </w:r>
          </w:p>
        </w:tc>
        <w:tc>
          <w:tcPr>
            <w:tcW w:w="6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32</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48</w:t>
            </w: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32</w:t>
            </w: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5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专业核心课程</w:t>
            </w: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跨境平台店铺运营与管理</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56</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80</w:t>
            </w:r>
          </w:p>
        </w:tc>
        <w:tc>
          <w:tcPr>
            <w:tcW w:w="0" w:type="auto"/>
            <w:tcBorders>
              <w:top w:val="nil"/>
              <w:left w:val="nil"/>
              <w:bottom w:val="nil"/>
              <w:right w:val="nil"/>
            </w:tcBorders>
            <w:noWrap/>
            <w:vAlign w:val="center"/>
          </w:tcPr>
          <w:p>
            <w:pPr>
              <w:rPr>
                <w:rFonts w:hint="eastAsia" w:ascii="仿宋_GB2312" w:hAnsi="仿宋_GB2312" w:eastAsia="仿宋_GB2312" w:cs="仿宋_GB2312"/>
                <w:color w:val="000000"/>
                <w:sz w:val="22"/>
                <w:szCs w:val="22"/>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新技术课程</w:t>
            </w: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11</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跨境电商产品开发</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新技术课程</w:t>
            </w: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跨境电商数字营销</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40</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64</w:t>
            </w: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新技术课程</w:t>
            </w: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13</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跨境电商数据分析</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64</w:t>
            </w: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新技术课程</w:t>
            </w: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14</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跨境电商客户管理</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rPr>
                <w:rFonts w:hint="eastAsia" w:ascii="仿宋_GB2312" w:hAnsi="仿宋_GB2312" w:eastAsia="仿宋_GB2312" w:cs="仿宋_GB2312"/>
                <w:color w:val="000000"/>
                <w:sz w:val="22"/>
                <w:szCs w:val="22"/>
              </w:rPr>
            </w:pPr>
          </w:p>
        </w:tc>
        <w:tc>
          <w:tcPr>
            <w:tcW w:w="6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15</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产品视觉营销设计</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64</w:t>
            </w: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新技术课程</w:t>
            </w: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跨境电商物流与关务</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rPr>
                <w:rFonts w:hint="eastAsia" w:ascii="仿宋_GB2312" w:hAnsi="仿宋_GB2312" w:eastAsia="仿宋_GB2312" w:cs="仿宋_GB2312"/>
                <w:color w:val="000000"/>
                <w:sz w:val="22"/>
                <w:szCs w:val="22"/>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17</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jc w:val="left"/>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跨境采购与供应链管理</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3260"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小计</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28</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448</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192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256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8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48</w:t>
            </w: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144</w:t>
            </w:r>
          </w:p>
        </w:tc>
        <w:tc>
          <w:tcPr>
            <w:tcW w:w="6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32</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160</w:t>
            </w: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64</w:t>
            </w: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5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专业拓展课</w:t>
            </w: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18</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跨境短视频营销</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top"/>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64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top"/>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top"/>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新技术课程</w:t>
            </w: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19</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跨境直播营销</w:t>
            </w:r>
          </w:p>
        </w:tc>
        <w:tc>
          <w:tcPr>
            <w:tcW w:w="783"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990"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990"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40</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新技术课程</w:t>
            </w: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20</w:t>
            </w:r>
          </w:p>
        </w:tc>
        <w:tc>
          <w:tcPr>
            <w:tcW w:w="2470" w:type="dxa"/>
            <w:tcBorders>
              <w:top w:val="single" w:color="000000" w:sz="4" w:space="0"/>
              <w:left w:val="nil"/>
              <w:bottom w:val="single" w:color="000000" w:sz="4" w:space="0"/>
              <w:right w:val="single" w:color="000000" w:sz="4" w:space="0"/>
            </w:tcBorders>
            <w:vAlign w:val="center"/>
          </w:tcPr>
          <w:p>
            <w:pPr>
              <w:widowControl/>
              <w:jc w:val="left"/>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跨境电商独立站运营</w:t>
            </w:r>
          </w:p>
        </w:tc>
        <w:tc>
          <w:tcPr>
            <w:tcW w:w="783"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w:t>
            </w:r>
          </w:p>
        </w:tc>
        <w:tc>
          <w:tcPr>
            <w:tcW w:w="1059"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48</w:t>
            </w:r>
          </w:p>
        </w:tc>
        <w:tc>
          <w:tcPr>
            <w:tcW w:w="990"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990"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40</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FF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新技术课程</w:t>
            </w: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3260"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小计</w:t>
            </w:r>
          </w:p>
        </w:tc>
        <w:tc>
          <w:tcPr>
            <w:tcW w:w="783"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b/>
                <w:bCs/>
                <w:color w:val="000000"/>
                <w:sz w:val="20"/>
                <w:szCs w:val="20"/>
              </w:rPr>
            </w:pPr>
            <w:r>
              <w:rPr>
                <w:rFonts w:hint="eastAsia" w:ascii="仿宋_GB2312" w:hAnsi="仿宋_GB2312" w:eastAsia="仿宋_GB2312" w:cs="仿宋_GB2312"/>
                <w:b/>
                <w:bCs/>
                <w:color w:val="000000"/>
                <w:kern w:val="0"/>
                <w:sz w:val="20"/>
                <w:szCs w:val="20"/>
                <w:lang w:bidi="ar"/>
              </w:rPr>
              <w:t>10</w:t>
            </w:r>
          </w:p>
        </w:tc>
        <w:tc>
          <w:tcPr>
            <w:tcW w:w="1059"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b/>
                <w:bCs/>
                <w:color w:val="000000"/>
                <w:sz w:val="20"/>
                <w:szCs w:val="20"/>
              </w:rPr>
            </w:pPr>
            <w:r>
              <w:rPr>
                <w:rFonts w:hint="eastAsia" w:ascii="仿宋_GB2312" w:hAnsi="仿宋_GB2312" w:eastAsia="仿宋_GB2312" w:cs="仿宋_GB2312"/>
                <w:b/>
                <w:bCs/>
                <w:color w:val="000000"/>
                <w:kern w:val="0"/>
                <w:sz w:val="20"/>
                <w:szCs w:val="20"/>
                <w:lang w:bidi="ar"/>
              </w:rPr>
              <w:t>160</w:t>
            </w:r>
          </w:p>
        </w:tc>
        <w:tc>
          <w:tcPr>
            <w:tcW w:w="990"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b/>
                <w:bCs/>
                <w:color w:val="000000"/>
                <w:sz w:val="20"/>
                <w:szCs w:val="20"/>
              </w:rPr>
            </w:pPr>
            <w:r>
              <w:rPr>
                <w:rFonts w:hint="eastAsia" w:ascii="仿宋_GB2312" w:hAnsi="仿宋_GB2312" w:eastAsia="仿宋_GB2312" w:cs="仿宋_GB2312"/>
                <w:b/>
                <w:bCs/>
                <w:color w:val="000000"/>
                <w:kern w:val="0"/>
                <w:sz w:val="20"/>
                <w:szCs w:val="20"/>
                <w:lang w:bidi="ar"/>
              </w:rPr>
              <w:t>32</w:t>
            </w:r>
          </w:p>
        </w:tc>
        <w:tc>
          <w:tcPr>
            <w:tcW w:w="990"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b/>
                <w:bCs/>
                <w:color w:val="000000"/>
                <w:sz w:val="20"/>
                <w:szCs w:val="20"/>
              </w:rPr>
            </w:pPr>
            <w:r>
              <w:rPr>
                <w:rFonts w:hint="eastAsia" w:ascii="仿宋_GB2312" w:hAnsi="仿宋_GB2312" w:eastAsia="仿宋_GB2312" w:cs="仿宋_GB2312"/>
                <w:b/>
                <w:bCs/>
                <w:color w:val="000000"/>
                <w:kern w:val="0"/>
                <w:sz w:val="20"/>
                <w:szCs w:val="20"/>
                <w:lang w:bidi="ar"/>
              </w:rPr>
              <w:t>128</w:t>
            </w:r>
          </w:p>
        </w:tc>
        <w:tc>
          <w:tcPr>
            <w:tcW w:w="990"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b/>
                <w:bCs/>
                <w:color w:val="000000"/>
                <w:sz w:val="20"/>
                <w:szCs w:val="20"/>
              </w:rPr>
            </w:pPr>
            <w:r>
              <w:rPr>
                <w:rFonts w:hint="eastAsia" w:ascii="仿宋_GB2312" w:hAnsi="仿宋_GB2312" w:eastAsia="仿宋_GB2312" w:cs="仿宋_GB2312"/>
                <w:b/>
                <w:bCs/>
                <w:color w:val="000000"/>
                <w:kern w:val="0"/>
                <w:sz w:val="20"/>
                <w:szCs w:val="20"/>
                <w:lang w:bidi="ar"/>
              </w:rPr>
              <w:t>0</w:t>
            </w:r>
          </w:p>
        </w:tc>
        <w:tc>
          <w:tcPr>
            <w:tcW w:w="623"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b/>
                <w:bCs/>
                <w:color w:val="000000"/>
                <w:sz w:val="20"/>
                <w:szCs w:val="20"/>
              </w:rPr>
            </w:pPr>
            <w:r>
              <w:rPr>
                <w:rFonts w:hint="eastAsia" w:ascii="仿宋_GB2312" w:hAnsi="仿宋_GB2312" w:eastAsia="仿宋_GB2312" w:cs="仿宋_GB2312"/>
                <w:b/>
                <w:bCs/>
                <w:color w:val="000000"/>
                <w:kern w:val="0"/>
                <w:sz w:val="20"/>
                <w:szCs w:val="20"/>
                <w:lang w:bidi="ar"/>
              </w:rPr>
              <w:t>0</w:t>
            </w:r>
          </w:p>
        </w:tc>
        <w:tc>
          <w:tcPr>
            <w:tcW w:w="846"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b/>
                <w:bCs/>
                <w:color w:val="000000"/>
                <w:sz w:val="20"/>
                <w:szCs w:val="20"/>
              </w:rPr>
            </w:pPr>
            <w:r>
              <w:rPr>
                <w:rFonts w:hint="eastAsia" w:ascii="仿宋_GB2312" w:hAnsi="仿宋_GB2312" w:eastAsia="仿宋_GB2312" w:cs="仿宋_GB2312"/>
                <w:b/>
                <w:bCs/>
                <w:color w:val="000000"/>
                <w:kern w:val="0"/>
                <w:sz w:val="20"/>
                <w:szCs w:val="20"/>
                <w:lang w:bidi="ar"/>
              </w:rPr>
              <w:t>0</w:t>
            </w:r>
          </w:p>
        </w:tc>
        <w:tc>
          <w:tcPr>
            <w:tcW w:w="706"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b/>
                <w:bCs/>
                <w:color w:val="000000"/>
                <w:sz w:val="20"/>
                <w:szCs w:val="20"/>
              </w:rPr>
            </w:pPr>
            <w:r>
              <w:rPr>
                <w:rFonts w:hint="eastAsia" w:ascii="仿宋_GB2312" w:hAnsi="仿宋_GB2312" w:eastAsia="仿宋_GB2312" w:cs="仿宋_GB2312"/>
                <w:b/>
                <w:bCs/>
                <w:color w:val="000000"/>
                <w:kern w:val="0"/>
                <w:sz w:val="20"/>
                <w:szCs w:val="20"/>
                <w:lang w:bidi="ar"/>
              </w:rPr>
              <w:t>0</w:t>
            </w:r>
          </w:p>
        </w:tc>
        <w:tc>
          <w:tcPr>
            <w:tcW w:w="646"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b/>
                <w:bCs/>
                <w:color w:val="000000"/>
                <w:sz w:val="20"/>
                <w:szCs w:val="20"/>
              </w:rPr>
            </w:pPr>
            <w:r>
              <w:rPr>
                <w:rFonts w:hint="eastAsia" w:ascii="仿宋_GB2312" w:hAnsi="仿宋_GB2312" w:eastAsia="仿宋_GB2312" w:cs="仿宋_GB2312"/>
                <w:b/>
                <w:bCs/>
                <w:color w:val="000000"/>
                <w:kern w:val="0"/>
                <w:sz w:val="20"/>
                <w:szCs w:val="20"/>
                <w:lang w:bidi="ar"/>
              </w:rPr>
              <w:t>0</w:t>
            </w:r>
          </w:p>
        </w:tc>
        <w:tc>
          <w:tcPr>
            <w:tcW w:w="623"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b/>
                <w:bCs/>
                <w:color w:val="000000"/>
                <w:sz w:val="20"/>
                <w:szCs w:val="20"/>
              </w:rPr>
            </w:pPr>
            <w:r>
              <w:rPr>
                <w:rFonts w:hint="eastAsia" w:ascii="仿宋_GB2312" w:hAnsi="仿宋_GB2312" w:eastAsia="仿宋_GB2312" w:cs="仿宋_GB2312"/>
                <w:b/>
                <w:bCs/>
                <w:color w:val="000000"/>
                <w:kern w:val="0"/>
                <w:sz w:val="20"/>
                <w:szCs w:val="20"/>
                <w:lang w:bidi="ar"/>
              </w:rPr>
              <w:t>48</w:t>
            </w:r>
          </w:p>
        </w:tc>
        <w:tc>
          <w:tcPr>
            <w:tcW w:w="600"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b/>
                <w:bCs/>
                <w:color w:val="000000"/>
                <w:sz w:val="20"/>
                <w:szCs w:val="20"/>
              </w:rPr>
            </w:pPr>
            <w:r>
              <w:rPr>
                <w:rFonts w:hint="eastAsia" w:ascii="仿宋_GB2312" w:hAnsi="仿宋_GB2312" w:eastAsia="仿宋_GB2312" w:cs="仿宋_GB2312"/>
                <w:b/>
                <w:bCs/>
                <w:color w:val="000000"/>
                <w:kern w:val="0"/>
                <w:sz w:val="20"/>
                <w:szCs w:val="20"/>
                <w:lang w:bidi="ar"/>
              </w:rPr>
              <w:t>96</w:t>
            </w:r>
          </w:p>
        </w:tc>
        <w:tc>
          <w:tcPr>
            <w:tcW w:w="600"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b/>
                <w:bCs/>
                <w:color w:val="000000"/>
                <w:sz w:val="20"/>
                <w:szCs w:val="20"/>
              </w:rPr>
            </w:pPr>
            <w:r>
              <w:rPr>
                <w:rFonts w:hint="eastAsia" w:ascii="仿宋_GB2312" w:hAnsi="仿宋_GB2312" w:eastAsia="仿宋_GB2312" w:cs="仿宋_GB2312"/>
                <w:b/>
                <w:bCs/>
                <w:color w:val="000000"/>
                <w:kern w:val="0"/>
                <w:sz w:val="20"/>
                <w:szCs w:val="20"/>
                <w:lang w:bidi="ar"/>
              </w:rPr>
              <w:t>0</w:t>
            </w:r>
          </w:p>
        </w:tc>
        <w:tc>
          <w:tcPr>
            <w:tcW w:w="599" w:type="dxa"/>
            <w:tcBorders>
              <w:top w:val="single" w:color="000000" w:sz="4" w:space="0"/>
              <w:left w:val="single" w:color="000000" w:sz="4" w:space="0"/>
              <w:bottom w:val="single" w:color="000000" w:sz="4" w:space="0"/>
              <w:right w:val="single" w:color="000000" w:sz="4" w:space="0"/>
            </w:tcBorders>
          </w:tcPr>
          <w:p>
            <w:pPr>
              <w:widowControl/>
              <w:jc w:val="center"/>
              <w:textAlignment w:val="top"/>
              <w:rPr>
                <w:rFonts w:hint="eastAsia" w:ascii="仿宋_GB2312" w:hAnsi="仿宋_GB2312" w:eastAsia="仿宋_GB2312" w:cs="仿宋_GB2312"/>
                <w:b/>
                <w:bCs/>
                <w:color w:val="000000"/>
                <w:sz w:val="20"/>
                <w:szCs w:val="20"/>
              </w:rPr>
            </w:pPr>
            <w:r>
              <w:rPr>
                <w:rFonts w:hint="eastAsia" w:ascii="仿宋_GB2312" w:hAnsi="仿宋_GB2312" w:eastAsia="仿宋_GB2312" w:cs="仿宋_GB2312"/>
                <w:b/>
                <w:bCs/>
                <w:color w:val="000000"/>
                <w:kern w:val="0"/>
                <w:sz w:val="20"/>
                <w:szCs w:val="20"/>
                <w:lang w:bidi="ar"/>
              </w:rPr>
              <w:t>0</w:t>
            </w: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综合实践课程</w:t>
            </w: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21</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劳动教育—工业匠心</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0</w:t>
            </w: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32</w:t>
            </w: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rPr>
                <w:rFonts w:hint="eastAsia" w:ascii="仿宋_GB2312" w:hAnsi="仿宋_GB2312" w:eastAsia="仿宋_GB2312" w:cs="仿宋_GB2312"/>
                <w:color w:val="000000"/>
                <w:sz w:val="22"/>
                <w:szCs w:val="22"/>
              </w:rPr>
            </w:pPr>
          </w:p>
        </w:tc>
        <w:tc>
          <w:tcPr>
            <w:tcW w:w="6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54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22</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课程设计1：Amazon店铺运营</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rPr>
                <w:rFonts w:hint="eastAsia" w:ascii="仿宋_GB2312" w:hAnsi="仿宋_GB2312" w:eastAsia="仿宋_GB2312" w:cs="仿宋_GB2312"/>
                <w:color w:val="000000"/>
                <w:sz w:val="22"/>
                <w:szCs w:val="22"/>
              </w:rPr>
            </w:pP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企业课程</w:t>
            </w:r>
          </w:p>
        </w:tc>
      </w:tr>
      <w:tr>
        <w:tblPrEx>
          <w:tblCellMar>
            <w:top w:w="0" w:type="dxa"/>
            <w:left w:w="108" w:type="dxa"/>
            <w:bottom w:w="0" w:type="dxa"/>
            <w:right w:w="108" w:type="dxa"/>
          </w:tblCellMar>
        </w:tblPrEx>
        <w:trPr>
          <w:trHeight w:val="54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23</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课程设计2：客户沟通与服务</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623"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846"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623"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企业课程</w:t>
            </w:r>
          </w:p>
        </w:tc>
      </w:tr>
      <w:tr>
        <w:tblPrEx>
          <w:tblCellMar>
            <w:top w:w="0" w:type="dxa"/>
            <w:left w:w="108" w:type="dxa"/>
            <w:bottom w:w="0" w:type="dxa"/>
            <w:right w:w="108" w:type="dxa"/>
          </w:tblCellMar>
        </w:tblPrEx>
        <w:trPr>
          <w:trHeight w:val="54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jc w:val="left"/>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课程设计3：AIGC多语种内容生成</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623"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846"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706"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rPr>
                <w:rFonts w:hint="eastAsia" w:ascii="仿宋_GB2312" w:hAnsi="仿宋_GB2312" w:eastAsia="仿宋_GB2312" w:cs="仿宋_GB2312"/>
                <w:color w:val="000000"/>
                <w:sz w:val="22"/>
                <w:szCs w:val="22"/>
              </w:rPr>
            </w:pP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600"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企业课程</w:t>
            </w:r>
          </w:p>
        </w:tc>
      </w:tr>
      <w:tr>
        <w:tblPrEx>
          <w:tblCellMar>
            <w:top w:w="0" w:type="dxa"/>
            <w:left w:w="108" w:type="dxa"/>
            <w:bottom w:w="0" w:type="dxa"/>
            <w:right w:w="108" w:type="dxa"/>
          </w:tblCellMar>
        </w:tblPrEx>
        <w:trPr>
          <w:trHeight w:val="54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25</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jc w:val="left"/>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课程设计4：跨境整合营销与推广</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623"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846"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706"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646"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rPr>
                <w:rFonts w:hint="eastAsia" w:ascii="仿宋_GB2312" w:hAnsi="仿宋_GB2312" w:eastAsia="仿宋_GB2312" w:cs="仿宋_GB2312"/>
                <w:color w:val="000000"/>
                <w:sz w:val="22"/>
                <w:szCs w:val="22"/>
              </w:rPr>
            </w:pP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30</w:t>
            </w:r>
          </w:p>
        </w:tc>
        <w:tc>
          <w:tcPr>
            <w:tcW w:w="600"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企业课程</w:t>
            </w: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26</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毕业设计</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5</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120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120</w:t>
            </w: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nil"/>
              <w:left w:val="nil"/>
              <w:bottom w:val="nil"/>
              <w:right w:val="nil"/>
            </w:tcBorders>
            <w:noWrap/>
            <w:vAlign w:val="center"/>
          </w:tcPr>
          <w:p>
            <w:pPr>
              <w:rPr>
                <w:rFonts w:hint="eastAsia" w:ascii="仿宋_GB2312" w:hAnsi="仿宋_GB2312" w:eastAsia="仿宋_GB2312" w:cs="仿宋_GB2312"/>
                <w:color w:val="000000"/>
                <w:sz w:val="22"/>
                <w:szCs w:val="22"/>
              </w:rPr>
            </w:pP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120</w:t>
            </w: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27</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综合实践</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240</w:t>
            </w: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 w:val="20"/>
                <w:szCs w:val="20"/>
                <w:lang w:bidi="ar"/>
              </w:rPr>
              <w:t>240</w:t>
            </w: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28</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岗位实习</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240</w:t>
            </w: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 w:val="20"/>
                <w:szCs w:val="20"/>
                <w:lang w:bidi="ar"/>
              </w:rPr>
              <w:t>240</w:t>
            </w: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3260"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小计</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26</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752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720</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szCs w:val="21"/>
              </w:rPr>
              <w:t>32</w:t>
            </w:r>
          </w:p>
        </w:tc>
        <w:tc>
          <w:tcPr>
            <w:tcW w:w="8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30</w:t>
            </w:r>
          </w:p>
        </w:tc>
        <w:tc>
          <w:tcPr>
            <w:tcW w:w="6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30</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30</w:t>
            </w: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30</w:t>
            </w: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360</w:t>
            </w:r>
          </w:p>
        </w:tc>
        <w:tc>
          <w:tcPr>
            <w:tcW w:w="5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240</w:t>
            </w: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80" w:hRule="atLeast"/>
          <w:jc w:val="center"/>
        </w:trPr>
        <w:tc>
          <w:tcPr>
            <w:tcW w:w="603" w:type="dxa"/>
            <w:vMerge w:val="restart"/>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restart"/>
            <w:tcBorders>
              <w:top w:val="nil"/>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汽车基础知识</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0" w:type="auto"/>
            <w:tcBorders>
              <w:top w:val="nil"/>
              <w:left w:val="nil"/>
              <w:bottom w:val="nil"/>
              <w:right w:val="nil"/>
            </w:tcBorders>
            <w:noWrap/>
            <w:vAlign w:val="center"/>
          </w:tcPr>
          <w:p>
            <w:pPr>
              <w:rPr>
                <w:rFonts w:hint="eastAsia" w:ascii="仿宋_GB2312" w:hAnsi="仿宋_GB2312" w:eastAsia="仿宋_GB2312" w:cs="仿宋_GB2312"/>
                <w:color w:val="000000"/>
                <w:sz w:val="22"/>
                <w:szCs w:val="22"/>
              </w:rPr>
            </w:pP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0" w:type="auto"/>
            <w:tcBorders>
              <w:top w:val="nil"/>
              <w:left w:val="nil"/>
              <w:bottom w:val="nil"/>
              <w:right w:val="nil"/>
            </w:tcBorders>
            <w:noWrap/>
            <w:vAlign w:val="center"/>
          </w:tcPr>
          <w:p>
            <w:pPr>
              <w:rPr>
                <w:rFonts w:hint="eastAsia" w:ascii="仿宋_GB2312" w:hAnsi="仿宋_GB2312" w:eastAsia="仿宋_GB2312" w:cs="仿宋_GB2312"/>
                <w:color w:val="000000"/>
                <w:sz w:val="22"/>
                <w:szCs w:val="22"/>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nil"/>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2470" w:type="dxa"/>
            <w:tcBorders>
              <w:top w:val="single" w:color="000000" w:sz="4" w:space="0"/>
              <w:left w:val="nil"/>
              <w:bottom w:val="single" w:color="000000" w:sz="4" w:space="0"/>
              <w:right w:val="single" w:color="000000" w:sz="4" w:space="0"/>
            </w:tcBorders>
            <w:vAlign w:val="center"/>
          </w:tcPr>
          <w:p>
            <w:pPr>
              <w:widowControl/>
              <w:jc w:val="left"/>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汽车产品海外新媒体推广</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新技术课程</w:t>
            </w: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nil"/>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东盟贸易地理</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auto"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706" w:type="dxa"/>
            <w:tcBorders>
              <w:top w:val="single" w:color="000000" w:sz="4" w:space="0"/>
              <w:left w:val="single" w:color="000000" w:sz="4" w:space="0"/>
              <w:bottom w:val="single" w:color="auto"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nil"/>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东盟区域文化</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auto" w:sz="4" w:space="0"/>
            </w:tcBorders>
            <w:vAlign w:val="center"/>
          </w:tcPr>
          <w:p>
            <w:pPr>
              <w:jc w:val="center"/>
              <w:rPr>
                <w:rFonts w:hint="eastAsia" w:ascii="仿宋_GB2312" w:hAnsi="仿宋_GB2312" w:eastAsia="仿宋_GB2312" w:cs="仿宋_GB2312"/>
                <w:color w:val="000000"/>
                <w:sz w:val="20"/>
                <w:szCs w:val="20"/>
              </w:rPr>
            </w:pPr>
          </w:p>
        </w:tc>
        <w:tc>
          <w:tcPr>
            <w:tcW w:w="0" w:type="auto"/>
            <w:tcBorders>
              <w:top w:val="single" w:color="auto" w:sz="4" w:space="0"/>
              <w:left w:val="single" w:color="auto" w:sz="4" w:space="0"/>
              <w:bottom w:val="single" w:color="auto" w:sz="4" w:space="0"/>
              <w:right w:val="single" w:color="auto" w:sz="4" w:space="0"/>
            </w:tcBorders>
            <w:noWrap/>
            <w:vAlign w:val="center"/>
          </w:tcPr>
          <w:p>
            <w:pPr>
              <w:rPr>
                <w:rFonts w:hint="eastAsia" w:ascii="仿宋_GB2312" w:hAnsi="仿宋_GB2312" w:eastAsia="仿宋_GB2312" w:cs="仿宋_GB2312"/>
                <w:color w:val="000000"/>
                <w:sz w:val="22"/>
                <w:szCs w:val="22"/>
              </w:rPr>
            </w:pPr>
          </w:p>
        </w:tc>
        <w:tc>
          <w:tcPr>
            <w:tcW w:w="0" w:type="auto"/>
            <w:tcBorders>
              <w:top w:val="single" w:color="auto" w:sz="4" w:space="0"/>
              <w:left w:val="single" w:color="auto" w:sz="4" w:space="0"/>
              <w:bottom w:val="single" w:color="auto" w:sz="4" w:space="0"/>
              <w:right w:val="single" w:color="auto" w:sz="4" w:space="0"/>
            </w:tcBorders>
            <w:noWrap/>
            <w:vAlign w:val="center"/>
          </w:tcPr>
          <w:p>
            <w:pPr>
              <w:rPr>
                <w:rFonts w:hint="eastAsia" w:ascii="仿宋_GB2312" w:hAnsi="仿宋_GB2312" w:eastAsia="仿宋_GB2312" w:cs="仿宋_GB2312"/>
                <w:color w:val="000000"/>
                <w:sz w:val="22"/>
                <w:szCs w:val="22"/>
              </w:rPr>
            </w:pPr>
          </w:p>
        </w:tc>
        <w:tc>
          <w:tcPr>
            <w:tcW w:w="646" w:type="dxa"/>
            <w:tcBorders>
              <w:top w:val="single" w:color="000000" w:sz="4" w:space="0"/>
              <w:left w:val="single" w:color="auto"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nil"/>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汽车产业新技术新趋势</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4</w:t>
            </w: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auto"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auto"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auto"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auto"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0" w:type="auto"/>
            <w:tcBorders>
              <w:top w:val="nil"/>
              <w:left w:val="nil"/>
              <w:bottom w:val="single" w:color="auto" w:sz="4" w:space="0"/>
              <w:right w:val="nil"/>
            </w:tcBorders>
            <w:noWrap/>
            <w:vAlign w:val="center"/>
          </w:tcPr>
          <w:p>
            <w:pPr>
              <w:rPr>
                <w:rFonts w:hint="eastAsia" w:ascii="仿宋_GB2312" w:hAnsi="仿宋_GB2312" w:eastAsia="仿宋_GB2312" w:cs="仿宋_GB2312"/>
                <w:color w:val="000000"/>
                <w:sz w:val="22"/>
                <w:szCs w:val="22"/>
              </w:rPr>
            </w:pPr>
          </w:p>
        </w:tc>
        <w:tc>
          <w:tcPr>
            <w:tcW w:w="600" w:type="dxa"/>
            <w:tcBorders>
              <w:top w:val="single" w:color="000000" w:sz="4" w:space="0"/>
              <w:left w:val="single" w:color="000000" w:sz="4" w:space="0"/>
              <w:bottom w:val="single" w:color="auto"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599" w:type="dxa"/>
            <w:tcBorders>
              <w:top w:val="single" w:color="000000" w:sz="4" w:space="0"/>
              <w:left w:val="single" w:color="000000" w:sz="4" w:space="0"/>
              <w:bottom w:val="single" w:color="auto"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新技术课程</w:t>
            </w: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nil"/>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跨境贸易风险管理</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auto"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auto" w:sz="4" w:space="0"/>
              <w:left w:val="single" w:color="auto" w:sz="4" w:space="0"/>
              <w:bottom w:val="single" w:color="auto" w:sz="4" w:space="0"/>
              <w:right w:val="single" w:color="auto" w:sz="4" w:space="0"/>
            </w:tcBorders>
            <w:vAlign w:val="center"/>
          </w:tcPr>
          <w:p>
            <w:pPr>
              <w:jc w:val="center"/>
              <w:rPr>
                <w:rFonts w:hint="eastAsia" w:ascii="仿宋_GB2312" w:hAnsi="仿宋_GB2312" w:eastAsia="仿宋_GB2312" w:cs="仿宋_GB2312"/>
                <w:color w:val="000000"/>
                <w:sz w:val="20"/>
                <w:szCs w:val="20"/>
              </w:rPr>
            </w:pPr>
          </w:p>
        </w:tc>
        <w:tc>
          <w:tcPr>
            <w:tcW w:w="0" w:type="auto"/>
            <w:tcBorders>
              <w:top w:val="single" w:color="auto" w:sz="4" w:space="0"/>
              <w:left w:val="single" w:color="auto" w:sz="4" w:space="0"/>
              <w:bottom w:val="single" w:color="auto" w:sz="4" w:space="0"/>
              <w:right w:val="single" w:color="auto" w:sz="4" w:space="0"/>
            </w:tcBorders>
            <w:noWrap/>
            <w:vAlign w:val="center"/>
          </w:tcPr>
          <w:p>
            <w:pPr>
              <w:rPr>
                <w:rFonts w:hint="eastAsia" w:ascii="仿宋_GB2312" w:hAnsi="仿宋_GB2312" w:eastAsia="仿宋_GB2312" w:cs="仿宋_GB2312"/>
                <w:color w:val="000000"/>
                <w:sz w:val="22"/>
                <w:szCs w:val="22"/>
              </w:rPr>
            </w:pPr>
          </w:p>
        </w:tc>
        <w:tc>
          <w:tcPr>
            <w:tcW w:w="600"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auto"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nil"/>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7</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eastAsia="zh-CN" w:bidi="ar"/>
              </w:rPr>
              <w:t>Python</w:t>
            </w:r>
            <w:r>
              <w:rPr>
                <w:rFonts w:hint="eastAsia" w:ascii="仿宋_GB2312" w:hAnsi="仿宋_GB2312" w:eastAsia="仿宋_GB2312" w:cs="仿宋_GB2312"/>
                <w:color w:val="000000"/>
                <w:kern w:val="0"/>
                <w:szCs w:val="21"/>
                <w:lang w:bidi="ar"/>
              </w:rPr>
              <w:t>应用基础</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auto"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623" w:type="dxa"/>
            <w:tcBorders>
              <w:top w:val="single" w:color="auto"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auto"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auto"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auto"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r>
      <w:tr>
        <w:tblPrEx>
          <w:tblCellMar>
            <w:top w:w="0" w:type="dxa"/>
            <w:left w:w="108" w:type="dxa"/>
            <w:bottom w:w="0" w:type="dxa"/>
            <w:right w:w="108" w:type="dxa"/>
          </w:tblCellMar>
        </w:tblPrEx>
        <w:trPr>
          <w:trHeight w:val="26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nil"/>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AI数字内容生成</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rPr>
                <w:rFonts w:hint="eastAsia" w:ascii="仿宋_GB2312" w:hAnsi="仿宋_GB2312" w:eastAsia="仿宋_GB2312" w:cs="仿宋_GB2312"/>
                <w:color w:val="000000"/>
                <w:sz w:val="22"/>
                <w:szCs w:val="22"/>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rPr>
                <w:rFonts w:hint="eastAsia" w:ascii="仿宋_GB2312" w:hAnsi="仿宋_GB2312" w:eastAsia="仿宋_GB2312" w:cs="仿宋_GB2312"/>
                <w:color w:val="000000"/>
                <w:sz w:val="22"/>
                <w:szCs w:val="22"/>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rPr>
                <w:rFonts w:hint="eastAsia" w:ascii="仿宋_GB2312" w:hAnsi="仿宋_GB2312" w:eastAsia="仿宋_GB2312" w:cs="仿宋_GB2312"/>
                <w:color w:val="000000"/>
                <w:sz w:val="22"/>
                <w:szCs w:val="22"/>
              </w:rPr>
            </w:pP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新技术课程</w:t>
            </w: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nil"/>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9</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东盟商务礼仪</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16</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0" w:type="auto"/>
            <w:tcBorders>
              <w:top w:val="nil"/>
              <w:left w:val="nil"/>
              <w:bottom w:val="nil"/>
              <w:right w:val="nil"/>
            </w:tcBorders>
            <w:noWrap/>
            <w:vAlign w:val="center"/>
          </w:tcPr>
          <w:p>
            <w:pPr>
              <w:rPr>
                <w:rFonts w:hint="eastAsia" w:ascii="仿宋_GB2312" w:hAnsi="仿宋_GB2312" w:eastAsia="仿宋_GB2312" w:cs="仿宋_GB2312"/>
                <w:color w:val="000000"/>
                <w:sz w:val="22"/>
                <w:szCs w:val="22"/>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0" w:type="auto"/>
            <w:tcBorders>
              <w:top w:val="nil"/>
              <w:left w:val="nil"/>
              <w:bottom w:val="nil"/>
              <w:right w:val="nil"/>
            </w:tcBorders>
            <w:noWrap/>
            <w:vAlign w:val="center"/>
          </w:tcPr>
          <w:p>
            <w:pPr>
              <w:rPr>
                <w:rFonts w:hint="eastAsia" w:ascii="仿宋_GB2312" w:hAnsi="仿宋_GB2312" w:eastAsia="仿宋_GB2312" w:cs="仿宋_GB2312"/>
                <w:color w:val="000000"/>
                <w:sz w:val="22"/>
                <w:szCs w:val="22"/>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nil"/>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2470"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跨境品牌推广</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24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8</w:t>
            </w: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32</w:t>
            </w: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restart"/>
            <w:tcBorders>
              <w:top w:val="single" w:color="000000" w:sz="4" w:space="0"/>
              <w:left w:val="single" w:color="000000" w:sz="4" w:space="0"/>
              <w:bottom w:val="nil"/>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“微专业”课程组</w:t>
            </w: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2470"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jc w:val="center"/>
              <w:rPr>
                <w:rFonts w:hint="eastAsia" w:ascii="仿宋_GB2312" w:hAnsi="仿宋_GB2312" w:eastAsia="仿宋_GB2312" w:cs="仿宋_GB2312"/>
                <w:color w:val="000000"/>
                <w:sz w:val="20"/>
                <w:szCs w:val="20"/>
              </w:rPr>
            </w:pPr>
          </w:p>
        </w:tc>
        <w:tc>
          <w:tcPr>
            <w:tcW w:w="105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2470"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jc w:val="center"/>
              <w:rPr>
                <w:rFonts w:hint="eastAsia" w:ascii="仿宋_GB2312" w:hAnsi="仿宋_GB2312" w:eastAsia="仿宋_GB2312" w:cs="仿宋_GB2312"/>
                <w:color w:val="000000"/>
                <w:sz w:val="20"/>
                <w:szCs w:val="20"/>
              </w:rPr>
            </w:pPr>
          </w:p>
        </w:tc>
        <w:tc>
          <w:tcPr>
            <w:tcW w:w="105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2470"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jc w:val="center"/>
              <w:rPr>
                <w:rFonts w:hint="eastAsia" w:ascii="仿宋_GB2312" w:hAnsi="仿宋_GB2312" w:eastAsia="仿宋_GB2312" w:cs="仿宋_GB2312"/>
                <w:color w:val="000000"/>
                <w:sz w:val="20"/>
                <w:szCs w:val="20"/>
              </w:rPr>
            </w:pPr>
          </w:p>
        </w:tc>
        <w:tc>
          <w:tcPr>
            <w:tcW w:w="105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vMerge w:val="continue"/>
            <w:tcBorders>
              <w:top w:val="single" w:color="000000" w:sz="4" w:space="0"/>
              <w:left w:val="single" w:color="000000" w:sz="4" w:space="0"/>
              <w:bottom w:val="nil"/>
              <w:right w:val="single" w:color="000000" w:sz="4" w:space="0"/>
            </w:tcBorders>
            <w:vAlign w:val="center"/>
          </w:tcPr>
          <w:p>
            <w:pPr>
              <w:jc w:val="center"/>
              <w:rPr>
                <w:rFonts w:hint="eastAsia" w:ascii="仿宋_GB2312" w:hAnsi="仿宋_GB2312" w:eastAsia="仿宋_GB2312" w:cs="仿宋_GB2312"/>
                <w:color w:val="000000"/>
                <w:szCs w:val="21"/>
              </w:rPr>
            </w:pPr>
          </w:p>
        </w:tc>
        <w:tc>
          <w:tcPr>
            <w:tcW w:w="7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2470"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jc w:val="center"/>
              <w:rPr>
                <w:rFonts w:hint="eastAsia" w:ascii="仿宋_GB2312" w:hAnsi="仿宋_GB2312" w:eastAsia="仿宋_GB2312" w:cs="仿宋_GB2312"/>
                <w:color w:val="000000"/>
                <w:sz w:val="20"/>
                <w:szCs w:val="20"/>
              </w:rPr>
            </w:pPr>
          </w:p>
        </w:tc>
        <w:tc>
          <w:tcPr>
            <w:tcW w:w="105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99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8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70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46"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2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600"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5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3260"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小计</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19</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304</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176</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124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4</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8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32</w:t>
            </w: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6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64</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64</w:t>
            </w: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128</w:t>
            </w: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16</w:t>
            </w:r>
          </w:p>
        </w:tc>
        <w:tc>
          <w:tcPr>
            <w:tcW w:w="5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0</w:t>
            </w:r>
          </w:p>
        </w:tc>
        <w:tc>
          <w:tcPr>
            <w:tcW w:w="116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 w:val="20"/>
                <w:szCs w:val="20"/>
              </w:rPr>
            </w:pPr>
          </w:p>
        </w:tc>
      </w:tr>
      <w:tr>
        <w:tblPrEx>
          <w:tblCellMar>
            <w:top w:w="0" w:type="dxa"/>
            <w:left w:w="108" w:type="dxa"/>
            <w:bottom w:w="0" w:type="dxa"/>
            <w:right w:w="108" w:type="dxa"/>
          </w:tblCellMar>
        </w:tblPrEx>
        <w:trPr>
          <w:trHeight w:val="280" w:hRule="atLeast"/>
          <w:jc w:val="center"/>
        </w:trPr>
        <w:tc>
          <w:tcPr>
            <w:tcW w:w="603"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865" w:type="dxa"/>
            <w:tcBorders>
              <w:top w:val="single" w:color="000000" w:sz="4" w:space="0"/>
              <w:left w:val="single" w:color="000000" w:sz="4" w:space="0"/>
              <w:bottom w:val="single" w:color="000000" w:sz="4" w:space="0"/>
              <w:right w:val="single" w:color="000000" w:sz="4" w:space="0"/>
            </w:tcBorders>
            <w:vAlign w:val="center"/>
          </w:tcPr>
          <w:p>
            <w:pPr>
              <w:jc w:val="left"/>
              <w:rPr>
                <w:rFonts w:hint="eastAsia" w:ascii="仿宋_GB2312" w:hAnsi="仿宋_GB2312" w:eastAsia="仿宋_GB2312" w:cs="仿宋_GB2312"/>
                <w:color w:val="000000"/>
                <w:sz w:val="20"/>
                <w:szCs w:val="20"/>
              </w:rPr>
            </w:pPr>
          </w:p>
        </w:tc>
        <w:tc>
          <w:tcPr>
            <w:tcW w:w="14479" w:type="dxa"/>
            <w:gridSpan w:val="16"/>
            <w:tcBorders>
              <w:top w:val="single" w:color="000000" w:sz="4" w:space="0"/>
              <w:left w:val="single" w:color="000000" w:sz="4" w:space="0"/>
              <w:bottom w:val="single" w:color="000000" w:sz="4" w:space="0"/>
              <w:right w:val="single" w:color="000000" w:sz="4" w:space="0"/>
            </w:tcBorders>
            <w:vAlign w:val="center"/>
          </w:tcPr>
          <w:p>
            <w:pPr>
              <w:widowControl/>
              <w:jc w:val="left"/>
              <w:textAlignment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color w:val="000000"/>
                <w:kern w:val="0"/>
                <w:sz w:val="20"/>
                <w:szCs w:val="20"/>
                <w:lang w:bidi="ar"/>
              </w:rPr>
              <w:t>注：含学生自主选修“微专业”8个学分。</w:t>
            </w:r>
          </w:p>
        </w:tc>
      </w:tr>
      <w:tr>
        <w:tblPrEx>
          <w:tblCellMar>
            <w:top w:w="0" w:type="dxa"/>
            <w:left w:w="108" w:type="dxa"/>
            <w:bottom w:w="0" w:type="dxa"/>
            <w:right w:w="108" w:type="dxa"/>
          </w:tblCellMar>
        </w:tblPrEx>
        <w:trPr>
          <w:trHeight w:val="280" w:hRule="atLeast"/>
          <w:jc w:val="center"/>
        </w:trPr>
        <w:tc>
          <w:tcPr>
            <w:tcW w:w="4728" w:type="dxa"/>
            <w:gridSpan w:val="4"/>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合计</w:t>
            </w:r>
          </w:p>
        </w:tc>
        <w:tc>
          <w:tcPr>
            <w:tcW w:w="78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170</w:t>
            </w:r>
          </w:p>
        </w:tc>
        <w:tc>
          <w:tcPr>
            <w:tcW w:w="105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3204</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1275</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965</w:t>
            </w:r>
          </w:p>
        </w:tc>
        <w:tc>
          <w:tcPr>
            <w:tcW w:w="99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932</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388</w:t>
            </w:r>
          </w:p>
        </w:tc>
        <w:tc>
          <w:tcPr>
            <w:tcW w:w="8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400</w:t>
            </w:r>
          </w:p>
        </w:tc>
        <w:tc>
          <w:tcPr>
            <w:tcW w:w="70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424</w:t>
            </w:r>
          </w:p>
        </w:tc>
        <w:tc>
          <w:tcPr>
            <w:tcW w:w="64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288</w:t>
            </w:r>
          </w:p>
        </w:tc>
        <w:tc>
          <w:tcPr>
            <w:tcW w:w="62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396</w:t>
            </w: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348</w:t>
            </w:r>
          </w:p>
        </w:tc>
        <w:tc>
          <w:tcPr>
            <w:tcW w:w="60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0</w:t>
            </w:r>
          </w:p>
        </w:tc>
        <w:tc>
          <w:tcPr>
            <w:tcW w:w="5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0</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rPr>
                <w:rFonts w:hint="eastAsia" w:ascii="仿宋_GB2312" w:hAnsi="仿宋_GB2312" w:eastAsia="仿宋_GB2312" w:cs="仿宋_GB2312"/>
                <w:color w:val="000000"/>
                <w:sz w:val="22"/>
                <w:szCs w:val="22"/>
              </w:rPr>
            </w:pPr>
          </w:p>
        </w:tc>
      </w:tr>
      <w:tr>
        <w:tblPrEx>
          <w:tblCellMar>
            <w:top w:w="0" w:type="dxa"/>
            <w:left w:w="108" w:type="dxa"/>
            <w:bottom w:w="0" w:type="dxa"/>
            <w:right w:w="108" w:type="dxa"/>
          </w:tblCellMar>
        </w:tblPrEx>
        <w:trPr>
          <w:trHeight w:val="280" w:hRule="atLeast"/>
          <w:jc w:val="center"/>
        </w:trPr>
        <w:tc>
          <w:tcPr>
            <w:tcW w:w="0" w:type="auto"/>
            <w:gridSpan w:val="9"/>
            <w:tcBorders>
              <w:top w:val="single" w:color="000000" w:sz="4" w:space="0"/>
              <w:left w:val="single" w:color="000000" w:sz="4" w:space="0"/>
              <w:bottom w:val="single" w:color="000000" w:sz="4" w:space="0"/>
              <w:right w:val="single" w:color="000000" w:sz="4" w:space="0"/>
            </w:tcBorders>
            <w:noWrap/>
            <w:vAlign w:val="center"/>
          </w:tcPr>
          <w:p>
            <w:pPr>
              <w:widowControl/>
              <w:jc w:val="left"/>
              <w:textAlignment w:val="center"/>
              <w:rPr>
                <w:rFonts w:hint="eastAsia" w:ascii="仿宋_GB2312" w:hAnsi="仿宋_GB2312" w:eastAsia="仿宋_GB2312" w:cs="仿宋_GB2312"/>
                <w:color w:val="000000"/>
                <w:sz w:val="22"/>
                <w:szCs w:val="22"/>
              </w:rPr>
            </w:pPr>
            <w:r>
              <w:rPr>
                <w:rFonts w:hint="eastAsia" w:ascii="仿宋_GB2312" w:hAnsi="仿宋_GB2312" w:eastAsia="仿宋_GB2312" w:cs="仿宋_GB2312"/>
                <w:color w:val="000000"/>
                <w:kern w:val="0"/>
                <w:sz w:val="22"/>
                <w:szCs w:val="22"/>
                <w:lang w:bidi="ar"/>
              </w:rPr>
              <w:t xml:space="preserve">                周学时</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 xml:space="preserve">21.6 </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 xml:space="preserve">22.2 </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 xml:space="preserve">23.6 </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 xml:space="preserve">16.0 </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 xml:space="preserve">22.0 </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 xml:space="preserve">19.3 </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jc w:val="center"/>
              <w:rPr>
                <w:rFonts w:hint="eastAsia" w:ascii="仿宋_GB2312" w:hAnsi="仿宋_GB2312" w:eastAsia="仿宋_GB2312" w:cs="仿宋_GB2312"/>
                <w:color w:val="000000"/>
                <w:sz w:val="22"/>
                <w:szCs w:val="22"/>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jc w:val="left"/>
              <w:rPr>
                <w:rFonts w:hint="eastAsia" w:ascii="仿宋_GB2312" w:hAnsi="仿宋_GB2312" w:eastAsia="仿宋_GB2312" w:cs="仿宋_GB2312"/>
                <w:color w:val="000000"/>
                <w:sz w:val="22"/>
                <w:szCs w:val="22"/>
              </w:rPr>
            </w:pPr>
          </w:p>
        </w:tc>
      </w:tr>
    </w:tbl>
    <w:p>
      <w:pPr>
        <w:jc w:val="center"/>
        <w:rPr>
          <w:b/>
          <w:bCs/>
          <w:sz w:val="24"/>
          <w:szCs w:val="32"/>
        </w:rPr>
      </w:pPr>
    </w:p>
    <w:p>
      <w:pPr>
        <w:jc w:val="center"/>
        <w:rPr>
          <w:b/>
          <w:bCs/>
          <w:sz w:val="24"/>
          <w:szCs w:val="32"/>
        </w:rPr>
      </w:pPr>
    </w:p>
    <w:p>
      <w:pPr>
        <w:pStyle w:val="25"/>
        <w:adjustRightInd w:val="0"/>
        <w:snapToGrid w:val="0"/>
        <w:spacing w:line="360" w:lineRule="auto"/>
        <w:ind w:firstLine="0" w:firstLineChars="0"/>
        <w:jc w:val="center"/>
        <w:rPr>
          <w:rFonts w:hint="eastAsia" w:ascii="仿宋" w:hAnsi="仿宋" w:eastAsia="仿宋" w:cs="仿宋"/>
          <w:sz w:val="28"/>
          <w:szCs w:val="28"/>
        </w:rPr>
      </w:pPr>
    </w:p>
    <w:p>
      <w:pPr>
        <w:pStyle w:val="25"/>
        <w:adjustRightInd w:val="0"/>
        <w:snapToGrid w:val="0"/>
        <w:spacing w:line="360" w:lineRule="auto"/>
        <w:ind w:firstLine="560"/>
        <w:rPr>
          <w:rFonts w:hint="eastAsia" w:ascii="仿宋" w:hAnsi="仿宋" w:eastAsia="仿宋" w:cs="仿宋"/>
          <w:sz w:val="28"/>
          <w:szCs w:val="28"/>
        </w:rPr>
        <w:sectPr>
          <w:pgSz w:w="16838" w:h="11906" w:orient="landscape"/>
          <w:pgMar w:top="1803" w:right="1440" w:bottom="1803" w:left="1440" w:header="851" w:footer="992" w:gutter="0"/>
          <w:pgNumType w:fmt="decimal"/>
          <w:cols w:space="0" w:num="1"/>
          <w:docGrid w:type="lines" w:linePitch="319" w:charSpace="0"/>
        </w:sectPr>
      </w:pPr>
    </w:p>
    <w:p>
      <w:pPr>
        <w:pStyle w:val="3"/>
        <w:ind w:firstLine="562" w:firstLineChars="200"/>
        <w:rPr>
          <w:rFonts w:hint="eastAsia" w:ascii="仿宋_GB2312" w:hAnsi="仿宋_GB2312" w:eastAsia="仿宋_GB2312" w:cs="仿宋_GB2312"/>
          <w:sz w:val="28"/>
          <w:szCs w:val="36"/>
        </w:rPr>
      </w:pPr>
      <w:bookmarkStart w:id="59" w:name="_Toc2755"/>
      <w:r>
        <w:rPr>
          <w:rFonts w:hint="eastAsia" w:ascii="仿宋_GB2312" w:hAnsi="仿宋_GB2312" w:eastAsia="仿宋_GB2312" w:cs="仿宋_GB2312"/>
          <w:sz w:val="28"/>
          <w:szCs w:val="36"/>
        </w:rPr>
        <w:t>（二）第二课堂活动安排表</w:t>
      </w:r>
      <w:bookmarkEnd w:id="59"/>
    </w:p>
    <w:p>
      <w:pPr>
        <w:jc w:val="center"/>
        <w:rPr>
          <w:b/>
          <w:bCs/>
        </w:rPr>
      </w:pPr>
      <w:r>
        <w:rPr>
          <w:rFonts w:hint="eastAsia"/>
          <w:b/>
          <w:bCs/>
        </w:rPr>
        <w:t>表10-2 第二课堂活动安排表</w:t>
      </w:r>
    </w:p>
    <w:tbl>
      <w:tblPr>
        <w:tblStyle w:val="15"/>
        <w:tblW w:w="12891" w:type="dxa"/>
        <w:jc w:val="center"/>
        <w:tblLayout w:type="autofit"/>
        <w:tblCellMar>
          <w:top w:w="0" w:type="dxa"/>
          <w:left w:w="108" w:type="dxa"/>
          <w:bottom w:w="0" w:type="dxa"/>
          <w:right w:w="108" w:type="dxa"/>
        </w:tblCellMar>
      </w:tblPr>
      <w:tblGrid>
        <w:gridCol w:w="1101"/>
        <w:gridCol w:w="1041"/>
        <w:gridCol w:w="2269"/>
        <w:gridCol w:w="1026"/>
        <w:gridCol w:w="509"/>
        <w:gridCol w:w="509"/>
        <w:gridCol w:w="509"/>
        <w:gridCol w:w="509"/>
        <w:gridCol w:w="497"/>
        <w:gridCol w:w="509"/>
        <w:gridCol w:w="497"/>
        <w:gridCol w:w="499"/>
        <w:gridCol w:w="1507"/>
        <w:gridCol w:w="1909"/>
      </w:tblGrid>
      <w:tr>
        <w:tblPrEx>
          <w:tblCellMar>
            <w:top w:w="0" w:type="dxa"/>
            <w:left w:w="108" w:type="dxa"/>
            <w:bottom w:w="0" w:type="dxa"/>
            <w:right w:w="108" w:type="dxa"/>
          </w:tblCellMar>
        </w:tblPrEx>
        <w:trPr>
          <w:trHeight w:val="174" w:hRule="atLeast"/>
          <w:tblHeader/>
          <w:jc w:val="center"/>
        </w:trPr>
        <w:tc>
          <w:tcPr>
            <w:tcW w:w="1101"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活动体系分类</w:t>
            </w:r>
          </w:p>
        </w:tc>
        <w:tc>
          <w:tcPr>
            <w:tcW w:w="1041"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序号</w:t>
            </w:r>
          </w:p>
        </w:tc>
        <w:tc>
          <w:tcPr>
            <w:tcW w:w="2269"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活动名称</w:t>
            </w:r>
          </w:p>
        </w:tc>
        <w:tc>
          <w:tcPr>
            <w:tcW w:w="1026"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活动分/次</w:t>
            </w:r>
          </w:p>
        </w:tc>
        <w:tc>
          <w:tcPr>
            <w:tcW w:w="4038" w:type="dxa"/>
            <w:gridSpan w:val="8"/>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学期安排</w:t>
            </w:r>
          </w:p>
        </w:tc>
        <w:tc>
          <w:tcPr>
            <w:tcW w:w="1507"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必修活动对应课程名称</w:t>
            </w:r>
          </w:p>
        </w:tc>
        <w:tc>
          <w:tcPr>
            <w:tcW w:w="1909"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组织实施</w:t>
            </w:r>
          </w:p>
        </w:tc>
      </w:tr>
      <w:tr>
        <w:tblPrEx>
          <w:tblCellMar>
            <w:top w:w="0" w:type="dxa"/>
            <w:left w:w="108" w:type="dxa"/>
            <w:bottom w:w="0" w:type="dxa"/>
            <w:right w:w="108" w:type="dxa"/>
          </w:tblCellMar>
        </w:tblPrEx>
        <w:trPr>
          <w:trHeight w:val="106" w:hRule="atLeast"/>
          <w:tblHeader/>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c>
          <w:tcPr>
            <w:tcW w:w="1041"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c>
          <w:tcPr>
            <w:tcW w:w="226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c>
          <w:tcPr>
            <w:tcW w:w="1026"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2</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4</w:t>
            </w: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5</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6</w:t>
            </w: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7</w:t>
            </w:r>
          </w:p>
        </w:tc>
        <w:tc>
          <w:tcPr>
            <w:tcW w:w="4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8</w:t>
            </w:r>
          </w:p>
        </w:tc>
        <w:tc>
          <w:tcPr>
            <w:tcW w:w="150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c>
          <w:tcPr>
            <w:tcW w:w="190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r>
      <w:tr>
        <w:tblPrEx>
          <w:tblCellMar>
            <w:top w:w="0" w:type="dxa"/>
            <w:left w:w="108" w:type="dxa"/>
            <w:bottom w:w="0" w:type="dxa"/>
            <w:right w:w="108" w:type="dxa"/>
          </w:tblCellMar>
        </w:tblPrEx>
        <w:trPr>
          <w:trHeight w:val="361" w:hRule="atLeast"/>
          <w:jc w:val="center"/>
        </w:trPr>
        <w:tc>
          <w:tcPr>
            <w:tcW w:w="1101" w:type="dxa"/>
            <w:vMerge w:val="restart"/>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（一）“立德修身”模块</w:t>
            </w: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厚植爱国爱校情怀教育</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1507"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形势与政策</w:t>
            </w: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学工处+马克思主义学院+贸易与旅游管理学院</w:t>
            </w:r>
          </w:p>
        </w:tc>
      </w:tr>
      <w:tr>
        <w:tblPrEx>
          <w:tblCellMar>
            <w:top w:w="0" w:type="dxa"/>
            <w:left w:w="108" w:type="dxa"/>
            <w:bottom w:w="0" w:type="dxa"/>
            <w:right w:w="108" w:type="dxa"/>
          </w:tblCellMar>
        </w:tblPrEx>
        <w:trPr>
          <w:trHeight w:val="356"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法治教育</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1507"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思想道德与法治</w:t>
            </w: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学工处+马克思主义学院+贸易与旅游管理学院</w:t>
            </w:r>
          </w:p>
        </w:tc>
      </w:tr>
      <w:tr>
        <w:tblPrEx>
          <w:tblCellMar>
            <w:top w:w="0" w:type="dxa"/>
            <w:left w:w="108" w:type="dxa"/>
            <w:bottom w:w="0" w:type="dxa"/>
            <w:right w:w="108" w:type="dxa"/>
          </w:tblCellMar>
        </w:tblPrEx>
        <w:trPr>
          <w:trHeight w:val="415"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新时代党的创新理论学习活动</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1507"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习近平新时代中国特色社会主义思想概论</w:t>
            </w: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学工处+马克思主义学院+贸易与旅游管理学院</w:t>
            </w:r>
          </w:p>
        </w:tc>
      </w:tr>
      <w:tr>
        <w:tblPrEx>
          <w:tblCellMar>
            <w:top w:w="0" w:type="dxa"/>
            <w:left w:w="108" w:type="dxa"/>
            <w:bottom w:w="0" w:type="dxa"/>
            <w:right w:w="108" w:type="dxa"/>
          </w:tblCellMar>
        </w:tblPrEx>
        <w:trPr>
          <w:trHeight w:val="1031"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铸牢中华民族共同体意识教育</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中华民族共同体概论、中国近现代史纲要、马克思主义基本原理、毛泽东思想和中国特色社会主义理论体系概论</w:t>
            </w: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学工处+马克思主义学院+贸易与旅游管理学院</w:t>
            </w:r>
          </w:p>
        </w:tc>
      </w:tr>
      <w:tr>
        <w:tblPrEx>
          <w:tblCellMar>
            <w:top w:w="0" w:type="dxa"/>
            <w:left w:w="108" w:type="dxa"/>
            <w:bottom w:w="0" w:type="dxa"/>
            <w:right w:w="108" w:type="dxa"/>
          </w:tblCellMar>
        </w:tblPrEx>
        <w:trPr>
          <w:trHeight w:val="20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行为规范准则教育</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学工处+贸易与旅游管理学院</w:t>
            </w:r>
          </w:p>
        </w:tc>
      </w:tr>
      <w:tr>
        <w:tblPrEx>
          <w:tblCellMar>
            <w:top w:w="0" w:type="dxa"/>
            <w:left w:w="108" w:type="dxa"/>
            <w:bottom w:w="0" w:type="dxa"/>
            <w:right w:w="108" w:type="dxa"/>
          </w:tblCellMar>
        </w:tblPrEx>
        <w:trPr>
          <w:trHeight w:val="20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校情教育与学习管理教育</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学工处+贸易与旅游管理学院</w:t>
            </w:r>
          </w:p>
        </w:tc>
      </w:tr>
      <w:tr>
        <w:tblPrEx>
          <w:tblCellMar>
            <w:top w:w="0" w:type="dxa"/>
            <w:left w:w="108" w:type="dxa"/>
            <w:bottom w:w="0" w:type="dxa"/>
            <w:right w:w="108" w:type="dxa"/>
          </w:tblCellMar>
        </w:tblPrEx>
        <w:trPr>
          <w:trHeight w:val="20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7</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励志教育</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学工处+贸易与旅游管理学院</w:t>
            </w:r>
          </w:p>
        </w:tc>
      </w:tr>
      <w:tr>
        <w:tblPrEx>
          <w:tblCellMar>
            <w:top w:w="0" w:type="dxa"/>
            <w:left w:w="108" w:type="dxa"/>
            <w:bottom w:w="0" w:type="dxa"/>
            <w:right w:w="108" w:type="dxa"/>
          </w:tblCellMar>
        </w:tblPrEx>
        <w:trPr>
          <w:trHeight w:val="20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感恩教育</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学工处+贸易与旅游管理学院</w:t>
            </w:r>
          </w:p>
        </w:tc>
      </w:tr>
      <w:tr>
        <w:tblPrEx>
          <w:tblCellMar>
            <w:top w:w="0" w:type="dxa"/>
            <w:left w:w="108" w:type="dxa"/>
            <w:bottom w:w="0" w:type="dxa"/>
            <w:right w:w="108" w:type="dxa"/>
          </w:tblCellMar>
        </w:tblPrEx>
        <w:trPr>
          <w:trHeight w:val="20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9</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诚信教育</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学工处+贸易与旅游管理学院</w:t>
            </w:r>
          </w:p>
        </w:tc>
      </w:tr>
      <w:tr>
        <w:tblPrEx>
          <w:tblCellMar>
            <w:top w:w="0" w:type="dxa"/>
            <w:left w:w="108" w:type="dxa"/>
            <w:bottom w:w="0" w:type="dxa"/>
            <w:right w:w="108" w:type="dxa"/>
          </w:tblCellMar>
        </w:tblPrEx>
        <w:trPr>
          <w:trHeight w:val="361" w:hRule="atLeast"/>
          <w:jc w:val="center"/>
        </w:trPr>
        <w:tc>
          <w:tcPr>
            <w:tcW w:w="1101" w:type="dxa"/>
            <w:vMerge w:val="restart"/>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（二）“启智增知”模块</w:t>
            </w: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职业生涯规划大赛</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大学生职业发展与就业指导</w:t>
            </w: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11</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中国国际大学生创新大赛</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大学生创新与创业实务</w:t>
            </w: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教务处+通识教育学院</w:t>
            </w:r>
          </w:p>
        </w:tc>
      </w:tr>
      <w:tr>
        <w:tblPrEx>
          <w:tblCellMar>
            <w:top w:w="0" w:type="dxa"/>
            <w:left w:w="108" w:type="dxa"/>
            <w:bottom w:w="0" w:type="dxa"/>
            <w:right w:w="108" w:type="dxa"/>
          </w:tblCellMar>
        </w:tblPrEx>
        <w:trPr>
          <w:trHeight w:val="106"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创新创业训练营</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13</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创客马拉松</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14</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模拟招聘大赛</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就业处+通识教育学院</w:t>
            </w:r>
          </w:p>
        </w:tc>
      </w:tr>
      <w:tr>
        <w:tblPrEx>
          <w:tblCellMar>
            <w:top w:w="0" w:type="dxa"/>
            <w:left w:w="108" w:type="dxa"/>
            <w:bottom w:w="0" w:type="dxa"/>
            <w:right w:w="108" w:type="dxa"/>
          </w:tblCellMar>
        </w:tblPrEx>
        <w:trPr>
          <w:trHeight w:val="187"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15</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大学生演讲赛</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大学语文</w:t>
            </w: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经典诵读比赛</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jc w:val="center"/>
              <w:rPr>
                <w:rFonts w:hint="eastAsia" w:ascii="仿宋_GB2312" w:hAnsi="仿宋_GB2312" w:eastAsia="仿宋_GB2312" w:cs="仿宋_GB2312"/>
                <w:b/>
                <w:bCs/>
                <w:color w:val="000000"/>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jc w:val="center"/>
              <w:rPr>
                <w:rFonts w:hint="eastAsia" w:ascii="仿宋_GB2312" w:hAnsi="仿宋_GB2312" w:eastAsia="仿宋_GB2312" w:cs="仿宋_GB2312"/>
                <w:b/>
                <w:bCs/>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17</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大学生辩论赛</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18</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英语口语技能赛</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大学英语</w:t>
            </w: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19</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大学生英语竞赛</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20</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英语风采赛</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21</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阅读活动</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图书馆</w:t>
            </w:r>
          </w:p>
        </w:tc>
      </w:tr>
      <w:tr>
        <w:tblPrEx>
          <w:tblCellMar>
            <w:top w:w="0" w:type="dxa"/>
            <w:left w:w="108" w:type="dxa"/>
            <w:bottom w:w="0" w:type="dxa"/>
            <w:right w:w="108" w:type="dxa"/>
          </w:tblCellMar>
        </w:tblPrEx>
        <w:trPr>
          <w:trHeight w:val="274"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22</w:t>
            </w:r>
          </w:p>
        </w:tc>
        <w:tc>
          <w:tcPr>
            <w:tcW w:w="2269" w:type="dxa"/>
            <w:vMerge w:val="restart"/>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数学文化讲座</w:t>
            </w:r>
          </w:p>
        </w:tc>
        <w:tc>
          <w:tcPr>
            <w:tcW w:w="1026"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vMerge w:val="restart"/>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vMerge w:val="restart"/>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vMerge w:val="restart"/>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vMerge w:val="restart"/>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高等数学（文）</w:t>
            </w:r>
          </w:p>
        </w:tc>
        <w:tc>
          <w:tcPr>
            <w:tcW w:w="1909" w:type="dxa"/>
            <w:vMerge w:val="restart"/>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2269"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26"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高等数学（理）</w:t>
            </w:r>
          </w:p>
        </w:tc>
        <w:tc>
          <w:tcPr>
            <w:tcW w:w="1909"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106"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23</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数学建模竞赛</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大学生数独竞赛</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74" w:hRule="atLeast"/>
          <w:jc w:val="center"/>
        </w:trPr>
        <w:tc>
          <w:tcPr>
            <w:tcW w:w="1101" w:type="dxa"/>
            <w:vMerge w:val="restart"/>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（三）“强体健心”模块</w:t>
            </w: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25</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心理健康团体辅导</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大学生心理健康教育</w:t>
            </w: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学工处+通识学院</w:t>
            </w:r>
          </w:p>
        </w:tc>
      </w:tr>
      <w:tr>
        <w:tblPrEx>
          <w:tblCellMar>
            <w:top w:w="0" w:type="dxa"/>
            <w:left w:w="108" w:type="dxa"/>
            <w:bottom w:w="0" w:type="dxa"/>
            <w:right w:w="108" w:type="dxa"/>
          </w:tblCellMar>
        </w:tblPrEx>
        <w:trPr>
          <w:trHeight w:val="20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26</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3.25心理健康教育活动</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学工处+贸易与旅游管理学院</w:t>
            </w:r>
          </w:p>
        </w:tc>
      </w:tr>
      <w:tr>
        <w:tblPrEx>
          <w:tblCellMar>
            <w:top w:w="0" w:type="dxa"/>
            <w:left w:w="108" w:type="dxa"/>
            <w:bottom w:w="0" w:type="dxa"/>
            <w:right w:w="108" w:type="dxa"/>
          </w:tblCellMar>
        </w:tblPrEx>
        <w:trPr>
          <w:trHeight w:val="20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27</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5.25心理健康教育活动</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学工处+贸易与旅游管理学院</w:t>
            </w:r>
          </w:p>
        </w:tc>
      </w:tr>
      <w:tr>
        <w:tblPrEx>
          <w:tblCellMar>
            <w:top w:w="0" w:type="dxa"/>
            <w:left w:w="108" w:type="dxa"/>
            <w:bottom w:w="0" w:type="dxa"/>
            <w:right w:w="108" w:type="dxa"/>
          </w:tblCellMar>
        </w:tblPrEx>
        <w:trPr>
          <w:trHeight w:val="106"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28</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心理剧大赛</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w:t>
            </w:r>
          </w:p>
        </w:tc>
      </w:tr>
      <w:tr>
        <w:tblPrEx>
          <w:tblCellMar>
            <w:top w:w="0" w:type="dxa"/>
            <w:left w:w="108" w:type="dxa"/>
            <w:bottom w:w="0" w:type="dxa"/>
            <w:right w:w="108" w:type="dxa"/>
          </w:tblCellMar>
        </w:tblPrEx>
        <w:trPr>
          <w:trHeight w:val="20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29</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心理电影赏析</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学工处+贸易与旅游管理学院</w:t>
            </w:r>
          </w:p>
        </w:tc>
      </w:tr>
      <w:tr>
        <w:tblPrEx>
          <w:tblCellMar>
            <w:top w:w="0" w:type="dxa"/>
            <w:left w:w="108" w:type="dxa"/>
            <w:bottom w:w="0" w:type="dxa"/>
            <w:right w:w="108" w:type="dxa"/>
          </w:tblCellMar>
        </w:tblPrEx>
        <w:trPr>
          <w:trHeight w:val="20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30</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阳光长跑</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大学体育</w:t>
            </w: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学工处+通识学院</w:t>
            </w:r>
          </w:p>
        </w:tc>
      </w:tr>
      <w:tr>
        <w:tblPrEx>
          <w:tblCellMar>
            <w:top w:w="0" w:type="dxa"/>
            <w:left w:w="108" w:type="dxa"/>
            <w:bottom w:w="0" w:type="dxa"/>
            <w:right w:w="108" w:type="dxa"/>
          </w:tblCellMar>
        </w:tblPrEx>
        <w:trPr>
          <w:trHeight w:val="106"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31</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气排球联赛</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羽毛球联赛</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82"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33</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篮球联赛</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34</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广西三月三民族体育文化节</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312"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35</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田径运动会</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校田径运动会组委会+贸易与旅游管理学院</w:t>
            </w:r>
          </w:p>
        </w:tc>
      </w:tr>
      <w:tr>
        <w:tblPrEx>
          <w:tblCellMar>
            <w:top w:w="0" w:type="dxa"/>
            <w:left w:w="108" w:type="dxa"/>
            <w:bottom w:w="0" w:type="dxa"/>
            <w:right w:w="108" w:type="dxa"/>
          </w:tblCellMar>
        </w:tblPrEx>
        <w:trPr>
          <w:trHeight w:val="20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36</w:t>
            </w:r>
          </w:p>
        </w:tc>
        <w:tc>
          <w:tcPr>
            <w:tcW w:w="2269" w:type="dxa"/>
            <w:vMerge w:val="restart"/>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安全教育</w:t>
            </w:r>
          </w:p>
        </w:tc>
        <w:tc>
          <w:tcPr>
            <w:tcW w:w="1026"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97"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97" w:type="dxa"/>
            <w:vMerge w:val="restart"/>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vMerge w:val="restart"/>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大学生安全教育、</w:t>
            </w:r>
          </w:p>
        </w:tc>
        <w:tc>
          <w:tcPr>
            <w:tcW w:w="1909" w:type="dxa"/>
            <w:vMerge w:val="restart"/>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学工处+马克思主义学院+贸易与旅游管理学院</w:t>
            </w:r>
          </w:p>
        </w:tc>
      </w:tr>
      <w:tr>
        <w:tblPrEx>
          <w:tblCellMar>
            <w:top w:w="0" w:type="dxa"/>
            <w:left w:w="108" w:type="dxa"/>
            <w:bottom w:w="0" w:type="dxa"/>
            <w:right w:w="108" w:type="dxa"/>
          </w:tblCellMar>
        </w:tblPrEx>
        <w:trPr>
          <w:trHeight w:val="20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2269"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26"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国家安全教育</w:t>
            </w:r>
          </w:p>
        </w:tc>
        <w:tc>
          <w:tcPr>
            <w:tcW w:w="1909"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0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37</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适应教育</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新生入学教育</w:t>
            </w: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学工处+贸易与旅游管理学院</w:t>
            </w:r>
          </w:p>
        </w:tc>
      </w:tr>
      <w:tr>
        <w:tblPrEx>
          <w:tblCellMar>
            <w:top w:w="0" w:type="dxa"/>
            <w:left w:w="108" w:type="dxa"/>
            <w:bottom w:w="0" w:type="dxa"/>
            <w:right w:w="108" w:type="dxa"/>
          </w:tblCellMar>
        </w:tblPrEx>
        <w:trPr>
          <w:trHeight w:val="26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38</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禁毒、防艾教育</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学工处+团委+贸易与旅游管理学院</w:t>
            </w:r>
          </w:p>
        </w:tc>
      </w:tr>
      <w:tr>
        <w:tblPrEx>
          <w:tblCellMar>
            <w:top w:w="0" w:type="dxa"/>
            <w:left w:w="108" w:type="dxa"/>
            <w:bottom w:w="0" w:type="dxa"/>
            <w:right w:w="108" w:type="dxa"/>
          </w:tblCellMar>
        </w:tblPrEx>
        <w:trPr>
          <w:trHeight w:val="274" w:hRule="atLeast"/>
          <w:jc w:val="center"/>
        </w:trPr>
        <w:tc>
          <w:tcPr>
            <w:tcW w:w="1101" w:type="dxa"/>
            <w:vMerge w:val="restart"/>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（四）“美韵育情”模块</w:t>
            </w: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39</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中华优秀传统文化教育</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1507"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中国优秀传统文化</w:t>
            </w: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马克思主义学院</w:t>
            </w:r>
          </w:p>
        </w:tc>
      </w:tr>
      <w:tr>
        <w:tblPrEx>
          <w:tblCellMar>
            <w:top w:w="0" w:type="dxa"/>
            <w:left w:w="108" w:type="dxa"/>
            <w:bottom w:w="0" w:type="dxa"/>
            <w:right w:w="108" w:type="dxa"/>
          </w:tblCellMar>
        </w:tblPrEx>
        <w:trPr>
          <w:trHeight w:val="106"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40</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文明素养礼仪活动</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通用礼仪</w:t>
            </w: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41</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“五·四”文化艺术节系列活动</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团委+贸易与旅游管理学院</w:t>
            </w:r>
          </w:p>
        </w:tc>
      </w:tr>
      <w:tr>
        <w:tblPrEx>
          <w:tblCellMar>
            <w:top w:w="0" w:type="dxa"/>
            <w:left w:w="108" w:type="dxa"/>
            <w:bottom w:w="0" w:type="dxa"/>
            <w:right w:w="108" w:type="dxa"/>
          </w:tblCellMar>
        </w:tblPrEx>
        <w:trPr>
          <w:trHeight w:val="20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42</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“社团文化艺术节”系列活动</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w:t>
            </w:r>
          </w:p>
        </w:tc>
      </w:tr>
      <w:tr>
        <w:tblPrEx>
          <w:tblCellMar>
            <w:top w:w="0" w:type="dxa"/>
            <w:left w:w="108" w:type="dxa"/>
            <w:bottom w:w="0" w:type="dxa"/>
            <w:right w:w="108" w:type="dxa"/>
          </w:tblCellMar>
        </w:tblPrEx>
        <w:trPr>
          <w:trHeight w:val="361" w:hRule="atLeast"/>
          <w:jc w:val="center"/>
        </w:trPr>
        <w:tc>
          <w:tcPr>
            <w:tcW w:w="1101" w:type="dxa"/>
            <w:vMerge w:val="restart"/>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（五）“实践砺志”模块</w:t>
            </w: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43</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劳动教育</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1507"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劳动教育—工业·匠心</w:t>
            </w: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学工处+马克思主义学院+贸易与旅游管理学院</w:t>
            </w:r>
          </w:p>
        </w:tc>
      </w:tr>
      <w:tr>
        <w:tblPrEx>
          <w:tblCellMar>
            <w:top w:w="0" w:type="dxa"/>
            <w:left w:w="108" w:type="dxa"/>
            <w:bottom w:w="0" w:type="dxa"/>
            <w:right w:w="108" w:type="dxa"/>
          </w:tblCellMar>
        </w:tblPrEx>
        <w:trPr>
          <w:trHeight w:val="269"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44</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垃圾分类教育</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后勤处+学工处+团委</w:t>
            </w:r>
          </w:p>
        </w:tc>
      </w:tr>
      <w:tr>
        <w:tblPrEx>
          <w:tblCellMar>
            <w:top w:w="0" w:type="dxa"/>
            <w:left w:w="108" w:type="dxa"/>
            <w:bottom w:w="0" w:type="dxa"/>
            <w:right w:w="108" w:type="dxa"/>
          </w:tblCellMar>
        </w:tblPrEx>
        <w:trPr>
          <w:trHeight w:val="187"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45</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科学商店进社区</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46</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假期社会实践</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团委+贸易与旅游管理学院</w:t>
            </w:r>
          </w:p>
        </w:tc>
      </w:tr>
      <w:tr>
        <w:tblPrEx>
          <w:tblCellMar>
            <w:top w:w="0" w:type="dxa"/>
            <w:left w:w="108" w:type="dxa"/>
            <w:bottom w:w="0" w:type="dxa"/>
            <w:right w:w="108" w:type="dxa"/>
          </w:tblCellMar>
        </w:tblPrEx>
        <w:trPr>
          <w:trHeight w:val="106"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47</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志愿者服务</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团委+贸易与旅游管理学院</w:t>
            </w:r>
          </w:p>
        </w:tc>
      </w:tr>
      <w:tr>
        <w:tblPrEx>
          <w:tblCellMar>
            <w:top w:w="0" w:type="dxa"/>
            <w:left w:w="108" w:type="dxa"/>
            <w:bottom w:w="0" w:type="dxa"/>
            <w:right w:w="108" w:type="dxa"/>
          </w:tblCellMar>
        </w:tblPrEx>
        <w:trPr>
          <w:trHeight w:val="106"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三下乡活动</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团委+贸易与旅游管理学院</w:t>
            </w:r>
          </w:p>
        </w:tc>
      </w:tr>
      <w:tr>
        <w:tblPrEx>
          <w:tblCellMar>
            <w:top w:w="0" w:type="dxa"/>
            <w:left w:w="108" w:type="dxa"/>
            <w:bottom w:w="0" w:type="dxa"/>
            <w:right w:w="108" w:type="dxa"/>
          </w:tblCellMar>
        </w:tblPrEx>
        <w:trPr>
          <w:trHeight w:val="182"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49</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社区挂职</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团委+贸易与旅游管理学院</w:t>
            </w:r>
          </w:p>
        </w:tc>
      </w:tr>
      <w:tr>
        <w:tblPrEx>
          <w:tblCellMar>
            <w:top w:w="0" w:type="dxa"/>
            <w:left w:w="108" w:type="dxa"/>
            <w:bottom w:w="0" w:type="dxa"/>
            <w:right w:w="108" w:type="dxa"/>
          </w:tblCellMar>
        </w:tblPrEx>
        <w:trPr>
          <w:trHeight w:val="106" w:hRule="atLeast"/>
          <w:jc w:val="center"/>
        </w:trPr>
        <w:tc>
          <w:tcPr>
            <w:tcW w:w="110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0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50</w:t>
            </w:r>
          </w:p>
        </w:tc>
        <w:tc>
          <w:tcPr>
            <w:tcW w:w="226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新生节活动</w:t>
            </w:r>
          </w:p>
        </w:tc>
        <w:tc>
          <w:tcPr>
            <w:tcW w:w="102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50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50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99"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1507"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90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团委+贸易与旅游管理学院</w:t>
            </w:r>
          </w:p>
        </w:tc>
      </w:tr>
      <w:tr>
        <w:tblPrEx>
          <w:tblCellMar>
            <w:top w:w="0" w:type="dxa"/>
            <w:left w:w="108" w:type="dxa"/>
            <w:bottom w:w="0" w:type="dxa"/>
            <w:right w:w="108" w:type="dxa"/>
          </w:tblCellMar>
        </w:tblPrEx>
        <w:trPr>
          <w:trHeight w:val="110" w:hRule="atLeas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pPr>
              <w:jc w:val="right"/>
              <w:rPr>
                <w:rFonts w:hint="eastAsia" w:ascii="仿宋_GB2312" w:hAnsi="仿宋_GB2312" w:eastAsia="仿宋_GB2312" w:cs="仿宋_GB2312"/>
                <w:color w:val="000000"/>
                <w:szCs w:val="21"/>
              </w:rPr>
            </w:pPr>
          </w:p>
        </w:tc>
        <w:tc>
          <w:tcPr>
            <w:tcW w:w="0" w:type="auto"/>
            <w:gridSpan w:val="2"/>
            <w:tcBorders>
              <w:top w:val="single" w:color="000000" w:sz="4" w:space="0"/>
              <w:left w:val="single" w:color="000000" w:sz="4" w:space="0"/>
              <w:bottom w:val="single" w:color="000000" w:sz="4" w:space="0"/>
              <w:right w:val="single" w:color="000000" w:sz="4" w:space="0"/>
            </w:tcBorders>
            <w:noWrap/>
            <w:vAlign w:val="center"/>
          </w:tcPr>
          <w:p>
            <w:pPr>
              <w:widowControl/>
              <w:jc w:val="right"/>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必修活动分合计：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84</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20</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0</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0</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rPr>
                <w:rFonts w:hint="eastAsia" w:ascii="仿宋_GB2312" w:hAnsi="仿宋_GB2312" w:eastAsia="仿宋_GB2312" w:cs="仿宋_GB2312"/>
                <w:color w:val="000000"/>
                <w:szCs w:val="21"/>
              </w:rPr>
            </w:pPr>
          </w:p>
        </w:tc>
      </w:tr>
    </w:tbl>
    <w:p>
      <w:pPr>
        <w:sectPr>
          <w:pgSz w:w="16838" w:h="11906" w:orient="landscape"/>
          <w:pgMar w:top="1803" w:right="1440" w:bottom="1803" w:left="1440" w:header="851" w:footer="992" w:gutter="0"/>
          <w:pgNumType w:fmt="decimal"/>
          <w:cols w:space="0" w:num="1"/>
          <w:docGrid w:type="lines" w:linePitch="319" w:charSpace="0"/>
        </w:sectPr>
      </w:pPr>
    </w:p>
    <w:p>
      <w:pPr>
        <w:pStyle w:val="3"/>
        <w:ind w:firstLine="562" w:firstLineChars="200"/>
        <w:rPr>
          <w:rFonts w:hint="eastAsia" w:ascii="仿宋_GB2312" w:hAnsi="仿宋_GB2312" w:eastAsia="仿宋_GB2312" w:cs="仿宋_GB2312"/>
          <w:sz w:val="28"/>
          <w:szCs w:val="36"/>
        </w:rPr>
      </w:pPr>
      <w:bookmarkStart w:id="60" w:name="_Toc9726"/>
      <w:r>
        <w:rPr>
          <w:rFonts w:hint="eastAsia" w:ascii="仿宋_GB2312" w:hAnsi="仿宋_GB2312" w:eastAsia="仿宋_GB2312" w:cs="仿宋_GB2312"/>
          <w:sz w:val="28"/>
          <w:szCs w:val="36"/>
        </w:rPr>
        <w:t>（三）专业人才培养方案制定的说明</w:t>
      </w:r>
      <w:bookmarkEnd w:id="60"/>
    </w:p>
    <w:p>
      <w:pPr>
        <w:adjustRightInd w:val="0"/>
        <w:snapToGrid w:val="0"/>
        <w:spacing w:line="360" w:lineRule="auto"/>
        <w:ind w:firstLine="560" w:firstLineChars="200"/>
        <w:rPr>
          <w:rFonts w:hint="eastAsia" w:ascii="仿宋" w:hAnsi="仿宋" w:eastAsia="仿宋" w:cs="仿宋"/>
          <w:sz w:val="28"/>
          <w:szCs w:val="36"/>
        </w:rPr>
      </w:pPr>
      <w:r>
        <w:rPr>
          <w:rFonts w:hint="eastAsia" w:ascii="仿宋" w:hAnsi="仿宋" w:eastAsia="仿宋" w:cs="仿宋"/>
          <w:sz w:val="28"/>
          <w:szCs w:val="36"/>
        </w:rPr>
        <w:t>本专业人才培养方案的制定以《国家职业教育改革实施方案》的文件精神为指导，借鉴高等职业学校专业教学标准（跨境电子商务专业）；由校内跨境电子商务专业教学研究专家与专任教师、校外来自跨境电子商务企业、知名企业海外事业部的企业专家、来自柳州跨境电子商务产业园区的专家共同研讨制定，经学院专业建设指导委员论证、修订，最终完成本人才培养方案的制度。</w:t>
      </w:r>
    </w:p>
    <w:p>
      <w:pPr>
        <w:adjustRightInd w:val="0"/>
        <w:snapToGrid w:val="0"/>
        <w:spacing w:line="360" w:lineRule="auto"/>
        <w:ind w:firstLine="560" w:firstLineChars="200"/>
        <w:rPr>
          <w:rFonts w:hint="eastAsia" w:ascii="仿宋" w:hAnsi="仿宋" w:eastAsia="仿宋" w:cs="仿宋"/>
          <w:sz w:val="28"/>
          <w:szCs w:val="36"/>
        </w:rPr>
      </w:pPr>
      <w:r>
        <w:rPr>
          <w:rFonts w:hint="eastAsia" w:ascii="仿宋" w:hAnsi="仿宋" w:eastAsia="仿宋" w:cs="仿宋"/>
          <w:sz w:val="28"/>
          <w:szCs w:val="36"/>
        </w:rPr>
        <w:t>校内人员：杨歌谣、谭欣、林翔君、孙廖源、王晓娟、李微微、张明权、胡志仁、韦晓霞等。</w:t>
      </w:r>
    </w:p>
    <w:p>
      <w:pPr>
        <w:adjustRightInd w:val="0"/>
        <w:snapToGrid w:val="0"/>
        <w:spacing w:line="360" w:lineRule="auto"/>
        <w:ind w:firstLine="560" w:firstLineChars="200"/>
        <w:rPr>
          <w:rFonts w:hint="eastAsia" w:ascii="仿宋" w:hAnsi="仿宋" w:eastAsia="仿宋" w:cs="仿宋"/>
          <w:b/>
          <w:bCs/>
          <w:sz w:val="28"/>
          <w:szCs w:val="28"/>
        </w:rPr>
      </w:pPr>
      <w:r>
        <w:rPr>
          <w:rFonts w:hint="eastAsia" w:ascii="仿宋" w:hAnsi="仿宋" w:eastAsia="仿宋" w:cs="仿宋"/>
          <w:sz w:val="28"/>
          <w:szCs w:val="36"/>
        </w:rPr>
        <w:t>校外人员：陈小艺（上汽通用五菱汽车股份有限公司海外事业及工程中心海外销售科市场销售经理）、粘权鑫（东风柳州汽车有限公司跨境电商业务主管）、孙玉华（南宁安缇客文化艺术有限责任公司总经理）、谭欣（柳州龙工场跨境电商产业园负责人）、欧皓轩（广西螺霸王品牌管理有限公司海外事业部总监）、李娇妮（广东全球拼购电子商务有限公司柳州城中区负责人）。</w:t>
      </w:r>
    </w:p>
    <w:p>
      <w:pPr>
        <w:pStyle w:val="3"/>
        <w:ind w:firstLine="562" w:firstLineChars="200"/>
        <w:rPr>
          <w:rFonts w:hint="eastAsia" w:ascii="仿宋_GB2312" w:hAnsi="仿宋_GB2312" w:eastAsia="仿宋_GB2312" w:cs="仿宋_GB2312"/>
          <w:sz w:val="28"/>
          <w:szCs w:val="36"/>
        </w:rPr>
      </w:pPr>
      <w:bookmarkStart w:id="61" w:name="_Toc1106"/>
      <w:r>
        <w:rPr>
          <w:rFonts w:hint="eastAsia" w:ascii="仿宋_GB2312" w:hAnsi="仿宋_GB2312" w:eastAsia="仿宋_GB2312" w:cs="仿宋_GB2312"/>
          <w:sz w:val="28"/>
          <w:szCs w:val="36"/>
        </w:rPr>
        <w:t>（四）专业对应的职业/岗位分析</w:t>
      </w:r>
      <w:bookmarkEnd w:id="61"/>
    </w:p>
    <w:p>
      <w:pPr>
        <w:pStyle w:val="3"/>
      </w:pPr>
    </w:p>
    <w:p>
      <w:pPr>
        <w:adjustRightInd w:val="0"/>
        <w:snapToGrid w:val="0"/>
        <w:spacing w:line="360" w:lineRule="auto"/>
        <w:ind w:firstLine="560" w:firstLineChars="200"/>
        <w:rPr>
          <w:rFonts w:hint="eastAsia" w:ascii="仿宋" w:hAnsi="仿宋" w:eastAsia="仿宋" w:cs="仿宋"/>
          <w:sz w:val="28"/>
          <w:szCs w:val="36"/>
        </w:rPr>
      </w:pPr>
      <w:r>
        <w:rPr>
          <w:rFonts w:hint="eastAsia" w:ascii="仿宋" w:hAnsi="仿宋" w:eastAsia="仿宋" w:cs="仿宋"/>
          <w:sz w:val="28"/>
          <w:szCs w:val="36"/>
        </w:rPr>
        <w:t>结合企业调研、院校同行调研、网络调研以及工作任务分析会了解跨境电子商务专业对应工作领域以及对应的职业能力要求，结合本专业定位实际，筛选出8大工作领域，确定了相关职业能力要求，具体见下表。</w:t>
      </w:r>
    </w:p>
    <w:tbl>
      <w:tblPr>
        <w:tblStyle w:val="16"/>
        <w:tblpPr w:leftFromText="180" w:rightFromText="180" w:vertAnchor="text" w:horzAnchor="page" w:tblpX="1802" w:tblpY="29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1229"/>
        <w:gridCol w:w="63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jc w:val="center"/>
              <w:rPr>
                <w:rFonts w:hint="eastAsia" w:ascii="仿宋" w:hAnsi="仿宋" w:eastAsia="仿宋" w:cs="仿宋"/>
                <w:b/>
                <w:bCs/>
                <w:szCs w:val="21"/>
              </w:rPr>
            </w:pPr>
            <w:r>
              <w:rPr>
                <w:rFonts w:hint="eastAsia" w:ascii="仿宋" w:hAnsi="仿宋" w:eastAsia="仿宋" w:cs="仿宋"/>
                <w:b/>
                <w:bCs/>
                <w:szCs w:val="21"/>
              </w:rPr>
              <w:t>序号</w:t>
            </w:r>
          </w:p>
        </w:tc>
        <w:tc>
          <w:tcPr>
            <w:tcW w:w="1229" w:type="dxa"/>
          </w:tcPr>
          <w:p>
            <w:pPr>
              <w:jc w:val="center"/>
              <w:rPr>
                <w:rFonts w:hint="eastAsia" w:ascii="仿宋" w:hAnsi="仿宋" w:eastAsia="仿宋" w:cs="仿宋"/>
                <w:b/>
                <w:bCs/>
                <w:szCs w:val="21"/>
              </w:rPr>
            </w:pPr>
            <w:r>
              <w:rPr>
                <w:rFonts w:hint="eastAsia" w:ascii="仿宋" w:hAnsi="仿宋" w:eastAsia="仿宋" w:cs="仿宋"/>
                <w:b/>
                <w:bCs/>
                <w:szCs w:val="21"/>
              </w:rPr>
              <w:t>工作领域</w:t>
            </w:r>
          </w:p>
        </w:tc>
        <w:tc>
          <w:tcPr>
            <w:tcW w:w="6363" w:type="dxa"/>
          </w:tcPr>
          <w:p>
            <w:pPr>
              <w:jc w:val="center"/>
              <w:rPr>
                <w:rFonts w:hint="eastAsia" w:ascii="仿宋" w:hAnsi="仿宋" w:eastAsia="仿宋" w:cs="仿宋"/>
                <w:b/>
                <w:bCs/>
                <w:szCs w:val="21"/>
              </w:rPr>
            </w:pPr>
            <w:r>
              <w:rPr>
                <w:rFonts w:hint="eastAsia" w:ascii="仿宋" w:hAnsi="仿宋" w:eastAsia="仿宋" w:cs="仿宋"/>
                <w:b/>
                <w:bCs/>
                <w:szCs w:val="21"/>
              </w:rPr>
              <w:t>职业能力要求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jc w:val="center"/>
              <w:rPr>
                <w:rFonts w:hint="eastAsia" w:ascii="仿宋" w:hAnsi="仿宋" w:eastAsia="仿宋" w:cs="仿宋"/>
                <w:szCs w:val="21"/>
              </w:rPr>
            </w:pPr>
            <w:r>
              <w:rPr>
                <w:rFonts w:hint="eastAsia" w:ascii="仿宋" w:hAnsi="仿宋" w:eastAsia="仿宋" w:cs="仿宋"/>
                <w:szCs w:val="21"/>
              </w:rPr>
              <w:t>1</w:t>
            </w:r>
          </w:p>
        </w:tc>
        <w:tc>
          <w:tcPr>
            <w:tcW w:w="1229" w:type="dxa"/>
            <w:vAlign w:val="center"/>
          </w:tcPr>
          <w:p>
            <w:pPr>
              <w:jc w:val="center"/>
              <w:rPr>
                <w:rFonts w:hint="eastAsia" w:ascii="仿宋" w:hAnsi="仿宋" w:eastAsia="仿宋" w:cs="仿宋"/>
                <w:szCs w:val="21"/>
              </w:rPr>
            </w:pPr>
            <w:r>
              <w:rPr>
                <w:rFonts w:hint="eastAsia" w:ascii="仿宋" w:hAnsi="仿宋" w:eastAsia="仿宋" w:cs="仿宋"/>
                <w:szCs w:val="21"/>
              </w:rPr>
              <w:t>平台运营</w:t>
            </w:r>
          </w:p>
        </w:tc>
        <w:tc>
          <w:tcPr>
            <w:tcW w:w="6363" w:type="dxa"/>
          </w:tcPr>
          <w:p>
            <w:pPr>
              <w:rPr>
                <w:rFonts w:hint="eastAsia" w:ascii="仿宋" w:hAnsi="仿宋" w:eastAsia="仿宋" w:cs="仿宋"/>
                <w:szCs w:val="21"/>
              </w:rPr>
            </w:pPr>
            <w:r>
              <w:rPr>
                <w:rFonts w:hint="eastAsia" w:ascii="仿宋" w:hAnsi="仿宋" w:eastAsia="仿宋" w:cs="仿宋"/>
                <w:szCs w:val="21"/>
              </w:rPr>
              <w:t>1. 熟练使用Office软件，能够进行基本的数据处理和文档编辑。</w:t>
            </w:r>
          </w:p>
          <w:p>
            <w:pPr>
              <w:rPr>
                <w:rFonts w:hint="eastAsia" w:ascii="仿宋" w:hAnsi="仿宋" w:eastAsia="仿宋" w:cs="仿宋"/>
                <w:szCs w:val="21"/>
              </w:rPr>
            </w:pPr>
            <w:r>
              <w:rPr>
                <w:rFonts w:hint="eastAsia" w:ascii="仿宋" w:hAnsi="仿宋" w:eastAsia="仿宋" w:cs="仿宋"/>
                <w:szCs w:val="21"/>
              </w:rPr>
              <w:t>2. 熟悉电商运营流程及各大跨境平台的后台操作。</w:t>
            </w:r>
          </w:p>
          <w:p>
            <w:pPr>
              <w:rPr>
                <w:rFonts w:hint="eastAsia" w:ascii="仿宋" w:hAnsi="仿宋" w:eastAsia="仿宋" w:cs="仿宋"/>
                <w:szCs w:val="21"/>
              </w:rPr>
            </w:pPr>
            <w:r>
              <w:rPr>
                <w:rFonts w:hint="eastAsia" w:ascii="仿宋" w:hAnsi="仿宋" w:eastAsia="仿宋" w:cs="仿宋"/>
                <w:szCs w:val="21"/>
              </w:rPr>
              <w:t>3. 具备基本的英语读写能力，能够与国际客户进行简单沟通。</w:t>
            </w:r>
          </w:p>
          <w:p>
            <w:pPr>
              <w:rPr>
                <w:rFonts w:hint="eastAsia" w:ascii="仿宋" w:hAnsi="仿宋" w:eastAsia="仿宋" w:cs="仿宋"/>
                <w:szCs w:val="21"/>
              </w:rPr>
            </w:pPr>
            <w:r>
              <w:rPr>
                <w:rFonts w:hint="eastAsia" w:ascii="仿宋" w:hAnsi="仿宋" w:eastAsia="仿宋" w:cs="仿宋"/>
                <w:szCs w:val="21"/>
              </w:rPr>
              <w:t>4. 掌握网络营销和推广技巧，能够有效提升产品曝光率。</w:t>
            </w:r>
          </w:p>
          <w:p>
            <w:pPr>
              <w:rPr>
                <w:rFonts w:hint="eastAsia" w:ascii="仿宋" w:hAnsi="仿宋" w:eastAsia="仿宋" w:cs="仿宋"/>
                <w:szCs w:val="21"/>
              </w:rPr>
            </w:pPr>
            <w:r>
              <w:rPr>
                <w:rFonts w:hint="eastAsia" w:ascii="仿宋" w:hAnsi="仿宋" w:eastAsia="仿宋" w:cs="仿宋"/>
                <w:szCs w:val="21"/>
              </w:rPr>
              <w:t>5. 具备团队协作与管理能力，能够协调团队成员的工作。</w:t>
            </w:r>
          </w:p>
          <w:p>
            <w:pPr>
              <w:rPr>
                <w:rFonts w:hint="eastAsia" w:ascii="仿宋" w:hAnsi="仿宋" w:eastAsia="仿宋" w:cs="仿宋"/>
                <w:szCs w:val="21"/>
              </w:rPr>
            </w:pPr>
            <w:r>
              <w:rPr>
                <w:rFonts w:hint="eastAsia" w:ascii="仿宋" w:hAnsi="仿宋" w:eastAsia="仿宋" w:cs="仿宋"/>
                <w:szCs w:val="21"/>
              </w:rPr>
              <w:t>6. 掌握搜索引擎优化（SEO）原理，能够提升平台的自然流量。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jc w:val="center"/>
              <w:rPr>
                <w:rFonts w:hint="eastAsia" w:ascii="仿宋" w:hAnsi="仿宋" w:eastAsia="仿宋" w:cs="仿宋"/>
                <w:szCs w:val="21"/>
              </w:rPr>
            </w:pPr>
            <w:r>
              <w:rPr>
                <w:rFonts w:hint="eastAsia" w:ascii="仿宋" w:hAnsi="仿宋" w:eastAsia="仿宋" w:cs="仿宋"/>
                <w:szCs w:val="21"/>
              </w:rPr>
              <w:t>2</w:t>
            </w:r>
          </w:p>
        </w:tc>
        <w:tc>
          <w:tcPr>
            <w:tcW w:w="1229" w:type="dxa"/>
            <w:vAlign w:val="center"/>
          </w:tcPr>
          <w:p>
            <w:pPr>
              <w:jc w:val="center"/>
              <w:rPr>
                <w:rFonts w:hint="eastAsia" w:ascii="仿宋" w:hAnsi="仿宋" w:eastAsia="仿宋" w:cs="仿宋"/>
                <w:szCs w:val="21"/>
              </w:rPr>
            </w:pPr>
            <w:r>
              <w:rPr>
                <w:rFonts w:hint="eastAsia" w:ascii="仿宋" w:hAnsi="仿宋" w:eastAsia="仿宋" w:cs="仿宋"/>
                <w:szCs w:val="21"/>
              </w:rPr>
              <w:t>产品运营</w:t>
            </w:r>
          </w:p>
        </w:tc>
        <w:tc>
          <w:tcPr>
            <w:tcW w:w="6363" w:type="dxa"/>
          </w:tcPr>
          <w:p>
            <w:pPr>
              <w:rPr>
                <w:rFonts w:hint="eastAsia" w:ascii="仿宋" w:hAnsi="仿宋" w:eastAsia="仿宋" w:cs="仿宋"/>
                <w:szCs w:val="21"/>
              </w:rPr>
            </w:pPr>
            <w:r>
              <w:rPr>
                <w:rFonts w:hint="eastAsia" w:ascii="仿宋" w:hAnsi="仿宋" w:eastAsia="仿宋" w:cs="仿宋"/>
                <w:szCs w:val="21"/>
              </w:rPr>
              <w:t>1. 具备文案策划、创作及文字处理能力，能够撰写吸引人的产品描述和市场推广文案。</w:t>
            </w:r>
          </w:p>
          <w:p>
            <w:pPr>
              <w:rPr>
                <w:rFonts w:hint="eastAsia" w:ascii="仿宋" w:hAnsi="仿宋" w:eastAsia="仿宋" w:cs="仿宋"/>
                <w:szCs w:val="21"/>
              </w:rPr>
            </w:pPr>
            <w:r>
              <w:rPr>
                <w:rFonts w:hint="eastAsia" w:ascii="仿宋" w:hAnsi="仿宋" w:eastAsia="仿宋" w:cs="仿宋"/>
                <w:szCs w:val="21"/>
              </w:rPr>
              <w:t>2. 能够进行电商及跨境电商市场调查，具备敏锐的市场洞察能力和分析能力，能够识别市场趋势。</w:t>
            </w:r>
          </w:p>
          <w:p>
            <w:pPr>
              <w:rPr>
                <w:rFonts w:hint="eastAsia" w:ascii="仿宋" w:hAnsi="仿宋" w:eastAsia="仿宋" w:cs="仿宋"/>
                <w:szCs w:val="21"/>
              </w:rPr>
            </w:pPr>
            <w:r>
              <w:rPr>
                <w:rFonts w:hint="eastAsia" w:ascii="仿宋" w:hAnsi="仿宋" w:eastAsia="仿宋" w:cs="仿宋"/>
                <w:szCs w:val="21"/>
              </w:rPr>
              <w:t>3. 具备制定运营计划和市场策略的能力，以推动产品销售和市场拓展。</w:t>
            </w:r>
          </w:p>
          <w:p>
            <w:pPr>
              <w:rPr>
                <w:rFonts w:hint="eastAsia" w:ascii="仿宋" w:hAnsi="仿宋" w:eastAsia="仿宋" w:cs="仿宋"/>
                <w:szCs w:val="21"/>
              </w:rPr>
            </w:pPr>
            <w:r>
              <w:rPr>
                <w:rFonts w:hint="eastAsia" w:ascii="仿宋" w:hAnsi="仿宋" w:eastAsia="仿宋" w:cs="仿宋"/>
                <w:szCs w:val="21"/>
              </w:rPr>
              <w:t>4. 理解并应用搜索引擎优化（SEO）技巧，提升产品在搜索引擎中的曝光度。</w:t>
            </w:r>
          </w:p>
          <w:p>
            <w:pPr>
              <w:rPr>
                <w:rFonts w:hint="eastAsia" w:ascii="仿宋" w:hAnsi="仿宋" w:eastAsia="仿宋" w:cs="仿宋"/>
                <w:szCs w:val="21"/>
              </w:rPr>
            </w:pPr>
            <w:r>
              <w:rPr>
                <w:rFonts w:hint="eastAsia" w:ascii="仿宋" w:hAnsi="仿宋" w:eastAsia="仿宋" w:cs="仿宋"/>
                <w:szCs w:val="21"/>
              </w:rPr>
              <w:t>5. 具备图文设计、图片及视频的拍摄与创意能力，以提升产品展示效果。</w:t>
            </w:r>
          </w:p>
          <w:p>
            <w:pPr>
              <w:rPr>
                <w:rFonts w:hint="eastAsia" w:ascii="仿宋" w:hAnsi="仿宋" w:eastAsia="仿宋" w:cs="仿宋"/>
                <w:szCs w:val="21"/>
              </w:rPr>
            </w:pPr>
            <w:r>
              <w:rPr>
                <w:rFonts w:hint="eastAsia" w:ascii="仿宋" w:hAnsi="仿宋" w:eastAsia="仿宋" w:cs="仿宋"/>
                <w:szCs w:val="21"/>
              </w:rPr>
              <w:t>6. 熟悉计算机基础操作，能够使用相关软件支持日常工作。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jc w:val="center"/>
              <w:rPr>
                <w:rFonts w:hint="eastAsia" w:ascii="仿宋" w:hAnsi="仿宋" w:eastAsia="仿宋" w:cs="仿宋"/>
                <w:szCs w:val="21"/>
              </w:rPr>
            </w:pPr>
            <w:r>
              <w:rPr>
                <w:rFonts w:hint="eastAsia" w:ascii="仿宋" w:hAnsi="仿宋" w:eastAsia="仿宋" w:cs="仿宋"/>
                <w:szCs w:val="21"/>
              </w:rPr>
              <w:t>3</w:t>
            </w:r>
          </w:p>
        </w:tc>
        <w:tc>
          <w:tcPr>
            <w:tcW w:w="1229" w:type="dxa"/>
            <w:vAlign w:val="center"/>
          </w:tcPr>
          <w:p>
            <w:pPr>
              <w:jc w:val="center"/>
              <w:rPr>
                <w:rFonts w:hint="eastAsia" w:ascii="仿宋" w:hAnsi="仿宋" w:eastAsia="仿宋" w:cs="仿宋"/>
                <w:szCs w:val="21"/>
              </w:rPr>
            </w:pPr>
            <w:r>
              <w:rPr>
                <w:rFonts w:hint="eastAsia" w:ascii="仿宋" w:hAnsi="仿宋" w:eastAsia="仿宋" w:cs="仿宋"/>
                <w:szCs w:val="21"/>
              </w:rPr>
              <w:t>品牌推广</w:t>
            </w:r>
          </w:p>
        </w:tc>
        <w:tc>
          <w:tcPr>
            <w:tcW w:w="6363" w:type="dxa"/>
          </w:tcPr>
          <w:p>
            <w:pPr>
              <w:rPr>
                <w:rFonts w:hint="eastAsia" w:ascii="仿宋" w:hAnsi="仿宋" w:eastAsia="仿宋" w:cs="仿宋"/>
                <w:szCs w:val="21"/>
              </w:rPr>
            </w:pPr>
            <w:r>
              <w:rPr>
                <w:rFonts w:hint="eastAsia" w:ascii="仿宋" w:hAnsi="仿宋" w:eastAsia="仿宋" w:cs="仿宋"/>
                <w:szCs w:val="21"/>
              </w:rPr>
              <w:t>1. 具备撰写吸引人的品牌文案和市场推广材料的能力。</w:t>
            </w:r>
          </w:p>
          <w:p>
            <w:pPr>
              <w:rPr>
                <w:rFonts w:hint="eastAsia" w:ascii="仿宋" w:hAnsi="仿宋" w:eastAsia="仿宋" w:cs="仿宋"/>
                <w:szCs w:val="21"/>
              </w:rPr>
            </w:pPr>
            <w:r>
              <w:rPr>
                <w:rFonts w:hint="eastAsia" w:ascii="仿宋" w:hAnsi="仿宋" w:eastAsia="仿宋" w:cs="仿宋"/>
                <w:szCs w:val="21"/>
              </w:rPr>
              <w:t>2. 能够进行电商及跨境电商市场调查，分析市场动态与消费者需求。</w:t>
            </w:r>
          </w:p>
          <w:p>
            <w:pPr>
              <w:rPr>
                <w:rFonts w:hint="eastAsia" w:ascii="仿宋" w:hAnsi="仿宋" w:eastAsia="仿宋" w:cs="仿宋"/>
                <w:szCs w:val="21"/>
              </w:rPr>
            </w:pPr>
            <w:r>
              <w:rPr>
                <w:rFonts w:hint="eastAsia" w:ascii="仿宋" w:hAnsi="仿宋" w:eastAsia="仿宋" w:cs="仿宋"/>
                <w:szCs w:val="21"/>
              </w:rPr>
              <w:t>3. 理解品牌建设与推广策略，能够制定有效的品牌营销方案。</w:t>
            </w:r>
          </w:p>
          <w:p>
            <w:pPr>
              <w:rPr>
                <w:rFonts w:hint="eastAsia" w:ascii="仿宋" w:hAnsi="仿宋" w:eastAsia="仿宋" w:cs="仿宋"/>
                <w:szCs w:val="21"/>
              </w:rPr>
            </w:pPr>
            <w:r>
              <w:rPr>
                <w:rFonts w:hint="eastAsia" w:ascii="仿宋" w:hAnsi="仿宋" w:eastAsia="仿宋" w:cs="仿宋"/>
                <w:szCs w:val="21"/>
              </w:rPr>
              <w:t>4. 能够识别市场趋势和消费者偏好，为品牌决策提供支持。</w:t>
            </w:r>
          </w:p>
          <w:p>
            <w:pPr>
              <w:rPr>
                <w:rFonts w:hint="eastAsia" w:ascii="仿宋" w:hAnsi="仿宋" w:eastAsia="仿宋" w:cs="仿宋"/>
                <w:szCs w:val="21"/>
              </w:rPr>
            </w:pPr>
            <w:r>
              <w:rPr>
                <w:rFonts w:hint="eastAsia" w:ascii="仿宋" w:hAnsi="仿宋" w:eastAsia="仿宋" w:cs="仿宋"/>
                <w:szCs w:val="21"/>
              </w:rPr>
              <w:t>5. 具备策划和组织品牌推广活动的能力，以增强品牌影响力。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jc w:val="center"/>
              <w:rPr>
                <w:rFonts w:hint="eastAsia" w:ascii="仿宋" w:hAnsi="仿宋" w:eastAsia="仿宋" w:cs="仿宋"/>
                <w:szCs w:val="21"/>
              </w:rPr>
            </w:pPr>
            <w:r>
              <w:rPr>
                <w:rFonts w:hint="eastAsia" w:ascii="仿宋" w:hAnsi="仿宋" w:eastAsia="仿宋" w:cs="仿宋"/>
                <w:szCs w:val="21"/>
              </w:rPr>
              <w:t>4</w:t>
            </w:r>
          </w:p>
        </w:tc>
        <w:tc>
          <w:tcPr>
            <w:tcW w:w="1229" w:type="dxa"/>
            <w:vAlign w:val="center"/>
          </w:tcPr>
          <w:p>
            <w:pPr>
              <w:jc w:val="center"/>
              <w:rPr>
                <w:rFonts w:hint="eastAsia" w:ascii="仿宋" w:hAnsi="仿宋" w:eastAsia="仿宋" w:cs="仿宋"/>
                <w:szCs w:val="21"/>
              </w:rPr>
            </w:pPr>
            <w:r>
              <w:rPr>
                <w:rFonts w:hint="eastAsia" w:ascii="仿宋" w:hAnsi="仿宋" w:eastAsia="仿宋" w:cs="仿宋"/>
                <w:szCs w:val="21"/>
              </w:rPr>
              <w:t>数据分析</w:t>
            </w:r>
          </w:p>
        </w:tc>
        <w:tc>
          <w:tcPr>
            <w:tcW w:w="6363" w:type="dxa"/>
          </w:tcPr>
          <w:p>
            <w:pPr>
              <w:rPr>
                <w:rFonts w:hint="eastAsia" w:ascii="仿宋" w:hAnsi="仿宋" w:eastAsia="仿宋" w:cs="仿宋"/>
                <w:szCs w:val="21"/>
              </w:rPr>
            </w:pPr>
            <w:r>
              <w:rPr>
                <w:rFonts w:hint="eastAsia" w:ascii="仿宋" w:hAnsi="仿宋" w:eastAsia="仿宋" w:cs="仿宋"/>
                <w:szCs w:val="21"/>
              </w:rPr>
              <w:t>1. 能够有效收集和优化数据，以确保数据的准确性和有效性。</w:t>
            </w:r>
          </w:p>
          <w:p>
            <w:pPr>
              <w:rPr>
                <w:rFonts w:hint="eastAsia" w:ascii="仿宋" w:hAnsi="仿宋" w:eastAsia="仿宋" w:cs="仿宋"/>
                <w:szCs w:val="21"/>
              </w:rPr>
            </w:pPr>
            <w:r>
              <w:rPr>
                <w:rFonts w:hint="eastAsia" w:ascii="仿宋" w:hAnsi="仿宋" w:eastAsia="仿宋" w:cs="仿宋"/>
                <w:szCs w:val="21"/>
              </w:rPr>
              <w:t>2. 理解统计学原理，能够运用统计方法进行数据分析和解读。</w:t>
            </w:r>
          </w:p>
          <w:p>
            <w:pPr>
              <w:rPr>
                <w:rFonts w:hint="eastAsia" w:ascii="仿宋" w:hAnsi="仿宋" w:eastAsia="仿宋" w:cs="仿宋"/>
                <w:szCs w:val="21"/>
              </w:rPr>
            </w:pPr>
            <w:r>
              <w:rPr>
                <w:rFonts w:hint="eastAsia" w:ascii="仿宋" w:hAnsi="仿宋" w:eastAsia="仿宋" w:cs="仿宋"/>
                <w:szCs w:val="21"/>
              </w:rPr>
              <w:t>3. 熟悉数据库软件的操作，能够进行数据管理和查询。</w:t>
            </w:r>
          </w:p>
          <w:p>
            <w:pPr>
              <w:rPr>
                <w:rFonts w:hint="eastAsia" w:ascii="仿宋" w:hAnsi="仿宋" w:eastAsia="仿宋" w:cs="仿宋"/>
                <w:szCs w:val="21"/>
              </w:rPr>
            </w:pPr>
            <w:r>
              <w:rPr>
                <w:rFonts w:hint="eastAsia" w:ascii="仿宋" w:hAnsi="仿宋" w:eastAsia="仿宋" w:cs="仿宋"/>
                <w:szCs w:val="21"/>
              </w:rPr>
              <w:t>4. 具备简单的计算机软件开发能力，以支持数据处理和分析需求。</w:t>
            </w:r>
          </w:p>
          <w:p>
            <w:pPr>
              <w:rPr>
                <w:rFonts w:hint="eastAsia" w:ascii="仿宋" w:hAnsi="仿宋" w:eastAsia="仿宋" w:cs="仿宋"/>
                <w:szCs w:val="21"/>
              </w:rPr>
            </w:pPr>
            <w:r>
              <w:rPr>
                <w:rFonts w:hint="eastAsia" w:ascii="仿宋" w:hAnsi="仿宋" w:eastAsia="仿宋" w:cs="仿宋"/>
                <w:szCs w:val="21"/>
              </w:rPr>
              <w:t>5. 能够针对不同数据类型，应用适当的分析方法和工具。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jc w:val="center"/>
              <w:rPr>
                <w:rFonts w:hint="eastAsia" w:ascii="仿宋" w:hAnsi="仿宋" w:eastAsia="仿宋" w:cs="仿宋"/>
                <w:szCs w:val="21"/>
              </w:rPr>
            </w:pPr>
            <w:r>
              <w:rPr>
                <w:rFonts w:hint="eastAsia" w:ascii="仿宋" w:hAnsi="仿宋" w:eastAsia="仿宋" w:cs="仿宋"/>
                <w:szCs w:val="21"/>
              </w:rPr>
              <w:t>5</w:t>
            </w:r>
          </w:p>
        </w:tc>
        <w:tc>
          <w:tcPr>
            <w:tcW w:w="1229" w:type="dxa"/>
            <w:vAlign w:val="center"/>
          </w:tcPr>
          <w:p>
            <w:pPr>
              <w:jc w:val="center"/>
              <w:rPr>
                <w:rFonts w:hint="eastAsia" w:ascii="仿宋" w:hAnsi="仿宋" w:eastAsia="仿宋" w:cs="仿宋"/>
                <w:szCs w:val="21"/>
              </w:rPr>
            </w:pPr>
            <w:r>
              <w:rPr>
                <w:rFonts w:hint="eastAsia" w:ascii="仿宋" w:hAnsi="仿宋" w:eastAsia="仿宋" w:cs="仿宋"/>
                <w:szCs w:val="21"/>
              </w:rPr>
              <w:t>客户关系管理</w:t>
            </w:r>
          </w:p>
        </w:tc>
        <w:tc>
          <w:tcPr>
            <w:tcW w:w="6363" w:type="dxa"/>
          </w:tcPr>
          <w:p>
            <w:pPr>
              <w:rPr>
                <w:rFonts w:hint="eastAsia" w:ascii="仿宋" w:hAnsi="仿宋" w:eastAsia="仿宋" w:cs="仿宋"/>
                <w:szCs w:val="21"/>
              </w:rPr>
            </w:pPr>
            <w:r>
              <w:rPr>
                <w:rFonts w:hint="eastAsia" w:ascii="仿宋" w:hAnsi="仿宋" w:eastAsia="仿宋" w:cs="仿宋"/>
                <w:szCs w:val="21"/>
              </w:rPr>
              <w:t>1. 能够识别潜在客户并有效开发新客户，拓展客户基础。</w:t>
            </w:r>
          </w:p>
          <w:p>
            <w:pPr>
              <w:rPr>
                <w:rFonts w:hint="eastAsia" w:ascii="仿宋" w:hAnsi="仿宋" w:eastAsia="仿宋" w:cs="仿宋"/>
                <w:szCs w:val="21"/>
              </w:rPr>
            </w:pPr>
            <w:r>
              <w:rPr>
                <w:rFonts w:hint="eastAsia" w:ascii="仿宋" w:hAnsi="仿宋" w:eastAsia="仿宋" w:cs="仿宋"/>
                <w:szCs w:val="21"/>
              </w:rPr>
              <w:t>2. 能够与客户进行有效沟通，建立良好的客户关系。</w:t>
            </w:r>
          </w:p>
          <w:p>
            <w:pPr>
              <w:rPr>
                <w:rFonts w:hint="eastAsia" w:ascii="仿宋" w:hAnsi="仿宋" w:eastAsia="仿宋" w:cs="仿宋"/>
                <w:szCs w:val="21"/>
              </w:rPr>
            </w:pPr>
            <w:r>
              <w:rPr>
                <w:rFonts w:hint="eastAsia" w:ascii="仿宋" w:hAnsi="仿宋" w:eastAsia="仿宋" w:cs="仿宋"/>
                <w:szCs w:val="21"/>
              </w:rPr>
              <w:t>3. 具备优质的客户服务能力，能够满足客户需求并解决问题。</w:t>
            </w:r>
          </w:p>
          <w:p>
            <w:pPr>
              <w:rPr>
                <w:rFonts w:hint="eastAsia" w:ascii="仿宋" w:hAnsi="仿宋" w:eastAsia="仿宋" w:cs="仿宋"/>
                <w:szCs w:val="21"/>
              </w:rPr>
            </w:pPr>
            <w:r>
              <w:rPr>
                <w:rFonts w:hint="eastAsia" w:ascii="仿宋" w:hAnsi="仿宋" w:eastAsia="仿宋" w:cs="仿宋"/>
                <w:szCs w:val="21"/>
              </w:rPr>
              <w:t>4. 具备销售技巧和能力，能够推动销售业绩的提升。</w:t>
            </w:r>
          </w:p>
          <w:p>
            <w:pPr>
              <w:rPr>
                <w:rFonts w:hint="eastAsia" w:ascii="仿宋" w:hAnsi="仿宋" w:eastAsia="仿宋" w:cs="仿宋"/>
                <w:szCs w:val="21"/>
              </w:rPr>
            </w:pPr>
            <w:r>
              <w:rPr>
                <w:rFonts w:hint="eastAsia" w:ascii="仿宋" w:hAnsi="仿宋" w:eastAsia="仿宋" w:cs="仿宋"/>
                <w:szCs w:val="21"/>
              </w:rPr>
              <w:t>5. 能够在客户关系出现问题时，快速识别并有效解决危机，维护客户信任。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jc w:val="center"/>
              <w:rPr>
                <w:rFonts w:hint="eastAsia" w:ascii="仿宋" w:hAnsi="仿宋" w:eastAsia="仿宋" w:cs="仿宋"/>
                <w:szCs w:val="21"/>
              </w:rPr>
            </w:pPr>
            <w:r>
              <w:rPr>
                <w:rFonts w:hint="eastAsia" w:ascii="仿宋" w:hAnsi="仿宋" w:eastAsia="仿宋" w:cs="仿宋"/>
                <w:szCs w:val="21"/>
              </w:rPr>
              <w:t>6</w:t>
            </w:r>
          </w:p>
        </w:tc>
        <w:tc>
          <w:tcPr>
            <w:tcW w:w="1229" w:type="dxa"/>
            <w:vAlign w:val="center"/>
          </w:tcPr>
          <w:p>
            <w:pPr>
              <w:jc w:val="center"/>
              <w:rPr>
                <w:rFonts w:hint="eastAsia" w:ascii="仿宋" w:hAnsi="仿宋" w:eastAsia="仿宋" w:cs="仿宋"/>
                <w:szCs w:val="21"/>
              </w:rPr>
            </w:pPr>
            <w:r>
              <w:rPr>
                <w:rFonts w:hint="eastAsia" w:ascii="仿宋" w:hAnsi="仿宋" w:eastAsia="仿宋" w:cs="仿宋"/>
                <w:szCs w:val="21"/>
              </w:rPr>
              <w:t>跨境物流管理</w:t>
            </w:r>
          </w:p>
        </w:tc>
        <w:tc>
          <w:tcPr>
            <w:tcW w:w="6363" w:type="dxa"/>
          </w:tcPr>
          <w:p>
            <w:pPr>
              <w:rPr>
                <w:rFonts w:hint="eastAsia" w:ascii="仿宋" w:hAnsi="仿宋" w:eastAsia="仿宋" w:cs="仿宋"/>
                <w:szCs w:val="21"/>
              </w:rPr>
            </w:pPr>
            <w:r>
              <w:rPr>
                <w:rFonts w:hint="eastAsia" w:ascii="仿宋" w:hAnsi="仿宋" w:eastAsia="仿宋" w:cs="仿宋"/>
                <w:szCs w:val="21"/>
              </w:rPr>
              <w:t>1. 具备有效管理库存的能力，以确保货物供应的稳定性和效率。</w:t>
            </w:r>
          </w:p>
          <w:p>
            <w:pPr>
              <w:rPr>
                <w:rFonts w:hint="eastAsia" w:ascii="仿宋" w:hAnsi="仿宋" w:eastAsia="仿宋" w:cs="仿宋"/>
                <w:szCs w:val="21"/>
              </w:rPr>
            </w:pPr>
            <w:r>
              <w:rPr>
                <w:rFonts w:hint="eastAsia" w:ascii="仿宋" w:hAnsi="仿宋" w:eastAsia="仿宋" w:cs="仿宋"/>
                <w:szCs w:val="21"/>
              </w:rPr>
              <w:t>2. 了解并熟悉跨境物流的各个流程，包括运输、清关、配送等环节。</w:t>
            </w:r>
          </w:p>
          <w:p>
            <w:pPr>
              <w:rPr>
                <w:rFonts w:hint="eastAsia" w:ascii="仿宋" w:hAnsi="仿宋" w:eastAsia="仿宋" w:cs="仿宋"/>
                <w:szCs w:val="21"/>
              </w:rPr>
            </w:pPr>
            <w:r>
              <w:rPr>
                <w:rFonts w:hint="eastAsia" w:ascii="仿宋" w:hAnsi="仿宋" w:eastAsia="仿宋" w:cs="仿宋"/>
                <w:szCs w:val="21"/>
              </w:rPr>
              <w:t>3. 能够与各方（如供应商、客户、物流公司等）进行有效沟通，协调各项工作。</w:t>
            </w:r>
          </w:p>
          <w:p>
            <w:pPr>
              <w:rPr>
                <w:rFonts w:hint="eastAsia" w:ascii="仿宋" w:hAnsi="仿宋" w:eastAsia="仿宋" w:cs="仿宋"/>
                <w:szCs w:val="21"/>
              </w:rPr>
            </w:pPr>
            <w:r>
              <w:rPr>
                <w:rFonts w:hint="eastAsia" w:ascii="仿宋" w:hAnsi="仿宋" w:eastAsia="仿宋" w:cs="仿宋"/>
                <w:szCs w:val="21"/>
              </w:rPr>
              <w:t>4. 具备快速识别和解决物流中出现的问题的能力。</w:t>
            </w:r>
          </w:p>
          <w:p>
            <w:pPr>
              <w:rPr>
                <w:rFonts w:hint="eastAsia" w:ascii="仿宋" w:hAnsi="仿宋" w:eastAsia="仿宋" w:cs="仿宋"/>
                <w:szCs w:val="21"/>
              </w:rPr>
            </w:pPr>
            <w:r>
              <w:rPr>
                <w:rFonts w:hint="eastAsia" w:ascii="仿宋" w:hAnsi="仿宋" w:eastAsia="仿宋" w:cs="仿宋"/>
                <w:szCs w:val="21"/>
              </w:rPr>
              <w:t>5. 具备基本的英语读写能力，能够处理国际物流中的相关文档和沟通需求。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jc w:val="center"/>
              <w:rPr>
                <w:rFonts w:hint="eastAsia" w:ascii="仿宋" w:hAnsi="仿宋" w:eastAsia="仿宋" w:cs="仿宋"/>
                <w:szCs w:val="21"/>
              </w:rPr>
            </w:pPr>
            <w:r>
              <w:rPr>
                <w:rFonts w:hint="eastAsia" w:ascii="仿宋" w:hAnsi="仿宋" w:eastAsia="仿宋" w:cs="仿宋"/>
                <w:szCs w:val="21"/>
              </w:rPr>
              <w:t>7</w:t>
            </w:r>
          </w:p>
        </w:tc>
        <w:tc>
          <w:tcPr>
            <w:tcW w:w="1229" w:type="dxa"/>
            <w:vAlign w:val="center"/>
          </w:tcPr>
          <w:p>
            <w:pPr>
              <w:jc w:val="center"/>
              <w:rPr>
                <w:rFonts w:hint="eastAsia" w:ascii="仿宋" w:hAnsi="仿宋" w:eastAsia="仿宋" w:cs="仿宋"/>
                <w:szCs w:val="21"/>
              </w:rPr>
            </w:pPr>
            <w:r>
              <w:rPr>
                <w:rFonts w:hint="eastAsia" w:ascii="仿宋" w:hAnsi="仿宋" w:eastAsia="仿宋" w:cs="仿宋"/>
                <w:szCs w:val="21"/>
              </w:rPr>
              <w:t>综合服务</w:t>
            </w:r>
          </w:p>
        </w:tc>
        <w:tc>
          <w:tcPr>
            <w:tcW w:w="6363" w:type="dxa"/>
          </w:tcPr>
          <w:p>
            <w:pPr>
              <w:rPr>
                <w:rFonts w:hint="eastAsia" w:ascii="仿宋" w:hAnsi="仿宋" w:eastAsia="仿宋" w:cs="仿宋"/>
                <w:szCs w:val="21"/>
              </w:rPr>
            </w:pPr>
            <w:r>
              <w:rPr>
                <w:rFonts w:hint="eastAsia" w:ascii="仿宋" w:hAnsi="仿宋" w:eastAsia="仿宋" w:cs="仿宋"/>
                <w:szCs w:val="21"/>
              </w:rPr>
              <w:t>1. 掌握跨境物流的各个流程，以支持综合服务的顺利进行。</w:t>
            </w:r>
          </w:p>
          <w:p>
            <w:pPr>
              <w:rPr>
                <w:rFonts w:hint="eastAsia" w:ascii="仿宋" w:hAnsi="仿宋" w:eastAsia="仿宋" w:cs="仿宋"/>
                <w:szCs w:val="21"/>
              </w:rPr>
            </w:pPr>
            <w:r>
              <w:rPr>
                <w:rFonts w:hint="eastAsia" w:ascii="仿宋" w:hAnsi="仿宋" w:eastAsia="仿宋" w:cs="仿宋"/>
                <w:szCs w:val="21"/>
              </w:rPr>
              <w:t>2. 能够与客户、供应商和其他相关方进行有效沟通，协调各项服务工作。</w:t>
            </w:r>
          </w:p>
          <w:p>
            <w:pPr>
              <w:rPr>
                <w:rFonts w:hint="eastAsia" w:ascii="仿宋" w:hAnsi="仿宋" w:eastAsia="仿宋" w:cs="仿宋"/>
                <w:szCs w:val="21"/>
              </w:rPr>
            </w:pPr>
            <w:r>
              <w:rPr>
                <w:rFonts w:hint="eastAsia" w:ascii="仿宋" w:hAnsi="仿宋" w:eastAsia="仿宋" w:cs="仿宋"/>
                <w:szCs w:val="21"/>
              </w:rPr>
              <w:t>3. 具备危机处理能力，能够在服务过程中应对突发情况。</w:t>
            </w:r>
          </w:p>
          <w:p>
            <w:pPr>
              <w:rPr>
                <w:rFonts w:hint="eastAsia" w:ascii="仿宋" w:hAnsi="仿宋" w:eastAsia="仿宋" w:cs="仿宋"/>
                <w:szCs w:val="21"/>
              </w:rPr>
            </w:pPr>
            <w:r>
              <w:rPr>
                <w:rFonts w:hint="eastAsia" w:ascii="仿宋" w:hAnsi="仿宋" w:eastAsia="仿宋" w:cs="仿宋"/>
                <w:szCs w:val="21"/>
              </w:rPr>
              <w:t>4. 了解基本的金融知识，以支持相关的财务和交易活动。</w:t>
            </w:r>
          </w:p>
          <w:p>
            <w:pPr>
              <w:rPr>
                <w:rFonts w:hint="eastAsia" w:ascii="仿宋" w:hAnsi="仿宋" w:eastAsia="仿宋" w:cs="仿宋"/>
                <w:szCs w:val="21"/>
              </w:rPr>
            </w:pPr>
            <w:r>
              <w:rPr>
                <w:rFonts w:hint="eastAsia" w:ascii="仿宋" w:hAnsi="仿宋" w:eastAsia="仿宋" w:cs="仿宋"/>
                <w:szCs w:val="21"/>
              </w:rPr>
              <w:t>5. 掌握与跨境电商和物流相关的法律法规，确保业务合规。</w:t>
            </w:r>
          </w:p>
          <w:p>
            <w:pPr>
              <w:rPr>
                <w:rFonts w:hint="eastAsia" w:ascii="仿宋" w:hAnsi="仿宋" w:eastAsia="仿宋" w:cs="仿宋"/>
                <w:szCs w:val="21"/>
              </w:rPr>
            </w:pPr>
            <w:r>
              <w:rPr>
                <w:rFonts w:hint="eastAsia" w:ascii="仿宋" w:hAnsi="仿宋" w:eastAsia="仿宋" w:cs="仿宋"/>
                <w:szCs w:val="21"/>
              </w:rPr>
              <w:t>6. 具备跨境电商的基本业务知识，能够为客户提供全面的服务支持。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jc w:val="center"/>
              <w:rPr>
                <w:rFonts w:hint="eastAsia" w:ascii="仿宋" w:hAnsi="仿宋" w:eastAsia="仿宋" w:cs="仿宋"/>
                <w:szCs w:val="21"/>
              </w:rPr>
            </w:pPr>
            <w:r>
              <w:rPr>
                <w:rFonts w:hint="eastAsia" w:ascii="仿宋" w:hAnsi="仿宋" w:eastAsia="仿宋" w:cs="仿宋"/>
                <w:szCs w:val="21"/>
              </w:rPr>
              <w:t>8</w:t>
            </w:r>
          </w:p>
        </w:tc>
        <w:tc>
          <w:tcPr>
            <w:tcW w:w="1229" w:type="dxa"/>
            <w:vAlign w:val="center"/>
          </w:tcPr>
          <w:p>
            <w:pPr>
              <w:jc w:val="center"/>
              <w:rPr>
                <w:rFonts w:hint="eastAsia" w:ascii="仿宋" w:hAnsi="仿宋" w:eastAsia="仿宋" w:cs="仿宋"/>
                <w:szCs w:val="21"/>
              </w:rPr>
            </w:pPr>
            <w:r>
              <w:rPr>
                <w:rFonts w:hint="eastAsia" w:ascii="仿宋" w:hAnsi="仿宋" w:eastAsia="仿宋" w:cs="仿宋"/>
                <w:szCs w:val="21"/>
              </w:rPr>
              <w:t>业务拓展</w:t>
            </w:r>
          </w:p>
        </w:tc>
        <w:tc>
          <w:tcPr>
            <w:tcW w:w="6363" w:type="dxa"/>
          </w:tcPr>
          <w:p>
            <w:pPr>
              <w:rPr>
                <w:rFonts w:hint="eastAsia" w:ascii="仿宋" w:hAnsi="仿宋" w:eastAsia="仿宋" w:cs="仿宋"/>
                <w:szCs w:val="21"/>
              </w:rPr>
            </w:pPr>
            <w:r>
              <w:rPr>
                <w:rFonts w:hint="eastAsia" w:ascii="仿宋" w:hAnsi="仿宋" w:eastAsia="仿宋" w:cs="仿宋"/>
                <w:szCs w:val="21"/>
              </w:rPr>
              <w:t>1. 能够进行深入的市场调查，识别潜在市场机会和趋势。</w:t>
            </w:r>
          </w:p>
          <w:p>
            <w:pPr>
              <w:rPr>
                <w:rFonts w:hint="eastAsia" w:ascii="仿宋" w:hAnsi="仿宋" w:eastAsia="仿宋" w:cs="仿宋"/>
                <w:szCs w:val="21"/>
              </w:rPr>
            </w:pPr>
            <w:r>
              <w:rPr>
                <w:rFonts w:hint="eastAsia" w:ascii="仿宋" w:hAnsi="仿宋" w:eastAsia="仿宋" w:cs="仿宋"/>
                <w:szCs w:val="21"/>
              </w:rPr>
              <w:t>2. 具备分析市场数据和信息的能力，以支持决策制定。</w:t>
            </w:r>
          </w:p>
          <w:p>
            <w:pPr>
              <w:rPr>
                <w:rFonts w:hint="eastAsia" w:ascii="仿宋" w:hAnsi="仿宋" w:eastAsia="仿宋" w:cs="仿宋"/>
                <w:szCs w:val="21"/>
              </w:rPr>
            </w:pPr>
            <w:r>
              <w:rPr>
                <w:rFonts w:hint="eastAsia" w:ascii="仿宋" w:hAnsi="仿宋" w:eastAsia="仿宋" w:cs="仿宋"/>
                <w:szCs w:val="21"/>
              </w:rPr>
              <w:t>3. 能够总结市场调研和分析结果，为业务发展提供参考。</w:t>
            </w:r>
          </w:p>
          <w:p>
            <w:pPr>
              <w:rPr>
                <w:rFonts w:hint="eastAsia" w:ascii="仿宋" w:hAnsi="仿宋" w:eastAsia="仿宋" w:cs="仿宋"/>
                <w:szCs w:val="21"/>
              </w:rPr>
            </w:pPr>
            <w:r>
              <w:rPr>
                <w:rFonts w:hint="eastAsia" w:ascii="仿宋" w:hAnsi="仿宋" w:eastAsia="仿宋" w:cs="仿宋"/>
                <w:szCs w:val="21"/>
              </w:rPr>
              <w:t>4. 具备制定业务拓展策略的能力，以推动公司的市场增长。</w:t>
            </w:r>
          </w:p>
          <w:p>
            <w:pPr>
              <w:rPr>
                <w:rFonts w:hint="eastAsia" w:ascii="仿宋" w:hAnsi="仿宋" w:eastAsia="仿宋" w:cs="仿宋"/>
                <w:szCs w:val="21"/>
              </w:rPr>
            </w:pPr>
            <w:r>
              <w:rPr>
                <w:rFonts w:hint="eastAsia" w:ascii="仿宋" w:hAnsi="仿宋" w:eastAsia="仿宋" w:cs="仿宋"/>
                <w:szCs w:val="21"/>
              </w:rPr>
              <w:t>5. 能够及时识别市场变化和客户需求，为业务调整提供依据。</w:t>
            </w:r>
          </w:p>
          <w:p>
            <w:pPr>
              <w:rPr>
                <w:rFonts w:hint="eastAsia" w:ascii="仿宋" w:hAnsi="仿宋" w:eastAsia="仿宋" w:cs="仿宋"/>
                <w:szCs w:val="21"/>
              </w:rPr>
            </w:pPr>
            <w:r>
              <w:rPr>
                <w:rFonts w:hint="eastAsia" w:ascii="仿宋" w:hAnsi="仿宋" w:eastAsia="仿宋" w:cs="仿宋"/>
                <w:szCs w:val="21"/>
              </w:rPr>
              <w:t>6. 具备团队组建和管理的能力，确保团队高效协作。</w:t>
            </w:r>
          </w:p>
          <w:p>
            <w:pPr>
              <w:rPr>
                <w:rFonts w:hint="eastAsia" w:ascii="仿宋" w:hAnsi="仿宋" w:eastAsia="仿宋" w:cs="仿宋"/>
                <w:szCs w:val="21"/>
              </w:rPr>
            </w:pPr>
            <w:r>
              <w:rPr>
                <w:rFonts w:hint="eastAsia" w:ascii="仿宋" w:hAnsi="仿宋" w:eastAsia="仿宋" w:cs="仿宋"/>
                <w:szCs w:val="21"/>
              </w:rPr>
              <w:t>7. 能够识别和管理业务拓展过程中的风险，保障公司的利益。</w:t>
            </w:r>
          </w:p>
        </w:tc>
      </w:tr>
    </w:tbl>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2CD3DDA6-27C0-44E9-9DAA-34065AB24E28}"/>
  </w:font>
  <w:font w:name="黑体">
    <w:panose1 w:val="02010609060101010101"/>
    <w:charset w:val="86"/>
    <w:family w:val="auto"/>
    <w:pitch w:val="default"/>
    <w:sig w:usb0="800002BF" w:usb1="38CF7CFA" w:usb2="00000016" w:usb3="00000000" w:csb0="00040001" w:csb1="00000000"/>
    <w:embedRegular r:id="rId2" w:fontKey="{1FE3E2A7-61A6-4298-B22A-CC9AB46C1BF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汉仪粗仿宋简">
    <w:panose1 w:val="02010600000101010101"/>
    <w:charset w:val="86"/>
    <w:family w:val="auto"/>
    <w:pitch w:val="default"/>
    <w:sig w:usb0="00000001" w:usb1="080E0800" w:usb2="00000002" w:usb3="00000000" w:csb0="00040000" w:csb1="00000000"/>
  </w:font>
  <w:font w:name="FZSSK--GBK1-0">
    <w:altName w:val="Times New Roman"/>
    <w:panose1 w:val="00000000000000000000"/>
    <w:charset w:val="00"/>
    <w:family w:val="roman"/>
    <w:pitch w:val="default"/>
    <w:sig w:usb0="00000000" w:usb1="00000000" w:usb2="00000000" w:usb3="00000000" w:csb0="00000000" w:csb1="00000000"/>
  </w:font>
  <w:font w:name="仿宋_GB2312">
    <w:panose1 w:val="02010609030101010101"/>
    <w:charset w:val="86"/>
    <w:family w:val="modern"/>
    <w:pitch w:val="default"/>
    <w:sig w:usb0="00000001" w:usb1="080E0000" w:usb2="00000000" w:usb3="00000000" w:csb0="00040000" w:csb1="00000000"/>
    <w:embedRegular r:id="rId3" w:fontKey="{55E47E3B-91A6-40C6-8A51-0D27F356D6B6}"/>
  </w:font>
  <w:font w:name="仿宋">
    <w:panose1 w:val="02010609060101010101"/>
    <w:charset w:val="86"/>
    <w:family w:val="modern"/>
    <w:pitch w:val="default"/>
    <w:sig w:usb0="800002BF" w:usb1="38CF7CFA" w:usb2="00000016" w:usb3="00000000" w:csb0="00040001" w:csb1="00000000"/>
    <w:embedRegular r:id="rId4" w:fontKey="{8C9865E4-1027-4E9F-8686-B327305C1FCB}"/>
  </w:font>
  <w:font w:name="微软雅黑">
    <w:panose1 w:val="020B0503020204020204"/>
    <w:charset w:val="86"/>
    <w:family w:val="swiss"/>
    <w:pitch w:val="default"/>
    <w:sig w:usb0="80000287" w:usb1="2ACF3C50" w:usb2="00000016" w:usb3="00000000" w:csb0="0004001F" w:csb1="00000000"/>
  </w:font>
  <w:font w:name="方正小标宋简体">
    <w:panose1 w:val="03000509000000000000"/>
    <w:charset w:val="86"/>
    <w:family w:val="script"/>
    <w:pitch w:val="default"/>
    <w:sig w:usb0="00000001" w:usb1="080E0000" w:usb2="00000000" w:usb3="00000000" w:csb0="00040000" w:csb1="00000000"/>
    <w:embedRegular r:id="rId5" w:fontKey="{F050612B-5C46-43AE-A793-96EB93C61FC4}"/>
  </w:font>
  <w:font w:name="华文宋体">
    <w:panose1 w:val="02010600040101010101"/>
    <w:charset w:val="86"/>
    <w:family w:val="auto"/>
    <w:pitch w:val="default"/>
    <w:sig w:usb0="00000287" w:usb1="080F0000" w:usb2="00000000" w:usb3="00000000" w:csb0="0004009F" w:csb1="DFD70000"/>
    <w:embedRegular r:id="rId6" w:fontKey="{B03CB0A4-FE77-45C1-B73F-93986A19B49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29</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D224042"/>
    <w:multiLevelType w:val="singleLevel"/>
    <w:tmpl w:val="2D224042"/>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VerticalSpacing w:val="159"/>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 w:name="KSO_WPS_MARK_KEY" w:val="270026e3-4b43-4f37-8100-755872a34bdf"/>
  </w:docVars>
  <w:rsids>
    <w:rsidRoot w:val="4D803138"/>
    <w:rsid w:val="00001D40"/>
    <w:rsid w:val="00002CA0"/>
    <w:rsid w:val="000100AC"/>
    <w:rsid w:val="00010BE3"/>
    <w:rsid w:val="00036678"/>
    <w:rsid w:val="00042E47"/>
    <w:rsid w:val="0004551C"/>
    <w:rsid w:val="00053C71"/>
    <w:rsid w:val="000579BA"/>
    <w:rsid w:val="0006060B"/>
    <w:rsid w:val="00063A41"/>
    <w:rsid w:val="000662A7"/>
    <w:rsid w:val="000A3321"/>
    <w:rsid w:val="000B3A28"/>
    <w:rsid w:val="000B7E17"/>
    <w:rsid w:val="000C026C"/>
    <w:rsid w:val="000C0E56"/>
    <w:rsid w:val="000C3568"/>
    <w:rsid w:val="000D0280"/>
    <w:rsid w:val="000D0C9B"/>
    <w:rsid w:val="000D5C55"/>
    <w:rsid w:val="000E7042"/>
    <w:rsid w:val="00101AE9"/>
    <w:rsid w:val="00101CF8"/>
    <w:rsid w:val="001046E4"/>
    <w:rsid w:val="00104857"/>
    <w:rsid w:val="00106421"/>
    <w:rsid w:val="00132A1A"/>
    <w:rsid w:val="00135135"/>
    <w:rsid w:val="00135875"/>
    <w:rsid w:val="001412F2"/>
    <w:rsid w:val="001477D0"/>
    <w:rsid w:val="00151B8B"/>
    <w:rsid w:val="00157A3E"/>
    <w:rsid w:val="00162AF6"/>
    <w:rsid w:val="00170DCA"/>
    <w:rsid w:val="00170F78"/>
    <w:rsid w:val="00172E8C"/>
    <w:rsid w:val="00176770"/>
    <w:rsid w:val="0018274C"/>
    <w:rsid w:val="00185A4F"/>
    <w:rsid w:val="00197369"/>
    <w:rsid w:val="00197735"/>
    <w:rsid w:val="001A1FAB"/>
    <w:rsid w:val="001A576F"/>
    <w:rsid w:val="001A5CF3"/>
    <w:rsid w:val="001B0140"/>
    <w:rsid w:val="001B48AF"/>
    <w:rsid w:val="001E3CED"/>
    <w:rsid w:val="001E50E0"/>
    <w:rsid w:val="001F13C1"/>
    <w:rsid w:val="001F2754"/>
    <w:rsid w:val="002211B8"/>
    <w:rsid w:val="00225828"/>
    <w:rsid w:val="00225829"/>
    <w:rsid w:val="00234F37"/>
    <w:rsid w:val="00240D14"/>
    <w:rsid w:val="002546C1"/>
    <w:rsid w:val="00276387"/>
    <w:rsid w:val="00277067"/>
    <w:rsid w:val="002826C4"/>
    <w:rsid w:val="002961C3"/>
    <w:rsid w:val="002A19F9"/>
    <w:rsid w:val="002A572D"/>
    <w:rsid w:val="002A66EA"/>
    <w:rsid w:val="002B532C"/>
    <w:rsid w:val="002C3366"/>
    <w:rsid w:val="002C4449"/>
    <w:rsid w:val="002C6283"/>
    <w:rsid w:val="002C6C02"/>
    <w:rsid w:val="002D41BF"/>
    <w:rsid w:val="002D45B0"/>
    <w:rsid w:val="002E01C1"/>
    <w:rsid w:val="002E7F46"/>
    <w:rsid w:val="00311B63"/>
    <w:rsid w:val="003217F7"/>
    <w:rsid w:val="00333A2A"/>
    <w:rsid w:val="0034662D"/>
    <w:rsid w:val="0035319C"/>
    <w:rsid w:val="00356317"/>
    <w:rsid w:val="0036256A"/>
    <w:rsid w:val="00371B2E"/>
    <w:rsid w:val="00374C85"/>
    <w:rsid w:val="0038576D"/>
    <w:rsid w:val="0039553A"/>
    <w:rsid w:val="00396312"/>
    <w:rsid w:val="003A3D0E"/>
    <w:rsid w:val="003B36D4"/>
    <w:rsid w:val="003C6A75"/>
    <w:rsid w:val="003E74E9"/>
    <w:rsid w:val="003F1084"/>
    <w:rsid w:val="003F3528"/>
    <w:rsid w:val="003F51DC"/>
    <w:rsid w:val="003F5F9D"/>
    <w:rsid w:val="0041700E"/>
    <w:rsid w:val="004221FC"/>
    <w:rsid w:val="00424589"/>
    <w:rsid w:val="00426810"/>
    <w:rsid w:val="00427135"/>
    <w:rsid w:val="00434EB0"/>
    <w:rsid w:val="00440599"/>
    <w:rsid w:val="00444F06"/>
    <w:rsid w:val="00444F83"/>
    <w:rsid w:val="004608A6"/>
    <w:rsid w:val="004620A6"/>
    <w:rsid w:val="0046221B"/>
    <w:rsid w:val="00464F31"/>
    <w:rsid w:val="00474F14"/>
    <w:rsid w:val="00491252"/>
    <w:rsid w:val="004927F1"/>
    <w:rsid w:val="004A4859"/>
    <w:rsid w:val="004D1F5A"/>
    <w:rsid w:val="004E2450"/>
    <w:rsid w:val="004F42C2"/>
    <w:rsid w:val="004F7091"/>
    <w:rsid w:val="004F790E"/>
    <w:rsid w:val="004F7AD0"/>
    <w:rsid w:val="00503EC9"/>
    <w:rsid w:val="00511F02"/>
    <w:rsid w:val="00526860"/>
    <w:rsid w:val="00532AA4"/>
    <w:rsid w:val="00533C4F"/>
    <w:rsid w:val="0054226F"/>
    <w:rsid w:val="00556848"/>
    <w:rsid w:val="00556F26"/>
    <w:rsid w:val="00563495"/>
    <w:rsid w:val="00573245"/>
    <w:rsid w:val="00580063"/>
    <w:rsid w:val="005813B0"/>
    <w:rsid w:val="0058514F"/>
    <w:rsid w:val="00594AA7"/>
    <w:rsid w:val="005954A8"/>
    <w:rsid w:val="005A597D"/>
    <w:rsid w:val="005C046A"/>
    <w:rsid w:val="005C634C"/>
    <w:rsid w:val="005E4A24"/>
    <w:rsid w:val="005E6B67"/>
    <w:rsid w:val="005E75FB"/>
    <w:rsid w:val="005F29AE"/>
    <w:rsid w:val="005F750B"/>
    <w:rsid w:val="00615AA6"/>
    <w:rsid w:val="00623027"/>
    <w:rsid w:val="00625712"/>
    <w:rsid w:val="00626E37"/>
    <w:rsid w:val="006379DB"/>
    <w:rsid w:val="006424E0"/>
    <w:rsid w:val="00644FF9"/>
    <w:rsid w:val="006564CD"/>
    <w:rsid w:val="006567DB"/>
    <w:rsid w:val="00670F0E"/>
    <w:rsid w:val="00671208"/>
    <w:rsid w:val="00675486"/>
    <w:rsid w:val="006758ED"/>
    <w:rsid w:val="0067611B"/>
    <w:rsid w:val="0067645F"/>
    <w:rsid w:val="00680735"/>
    <w:rsid w:val="0068167F"/>
    <w:rsid w:val="006A226F"/>
    <w:rsid w:val="006A2D30"/>
    <w:rsid w:val="006A4E03"/>
    <w:rsid w:val="006A4EB6"/>
    <w:rsid w:val="006C0EF9"/>
    <w:rsid w:val="006C1A6C"/>
    <w:rsid w:val="006C2210"/>
    <w:rsid w:val="006C53C1"/>
    <w:rsid w:val="006D2F49"/>
    <w:rsid w:val="006E7E13"/>
    <w:rsid w:val="006F2EB1"/>
    <w:rsid w:val="00701F27"/>
    <w:rsid w:val="0070644B"/>
    <w:rsid w:val="0071389C"/>
    <w:rsid w:val="00713ED7"/>
    <w:rsid w:val="00716A1F"/>
    <w:rsid w:val="007223FF"/>
    <w:rsid w:val="00733444"/>
    <w:rsid w:val="0073727D"/>
    <w:rsid w:val="00741DAE"/>
    <w:rsid w:val="00741F63"/>
    <w:rsid w:val="00743E9E"/>
    <w:rsid w:val="00745986"/>
    <w:rsid w:val="00750DA7"/>
    <w:rsid w:val="007714E4"/>
    <w:rsid w:val="00780BDD"/>
    <w:rsid w:val="0078457A"/>
    <w:rsid w:val="00795BDF"/>
    <w:rsid w:val="007A1713"/>
    <w:rsid w:val="007A173A"/>
    <w:rsid w:val="007A1F80"/>
    <w:rsid w:val="007B5420"/>
    <w:rsid w:val="007B568B"/>
    <w:rsid w:val="007C14D4"/>
    <w:rsid w:val="007C3FE0"/>
    <w:rsid w:val="007D1782"/>
    <w:rsid w:val="007D2437"/>
    <w:rsid w:val="007E4CEF"/>
    <w:rsid w:val="007E730E"/>
    <w:rsid w:val="007F1427"/>
    <w:rsid w:val="007F3CB7"/>
    <w:rsid w:val="007F78FF"/>
    <w:rsid w:val="00801AAE"/>
    <w:rsid w:val="0080331A"/>
    <w:rsid w:val="0080636C"/>
    <w:rsid w:val="00807A56"/>
    <w:rsid w:val="008113B3"/>
    <w:rsid w:val="00811805"/>
    <w:rsid w:val="00811951"/>
    <w:rsid w:val="00816543"/>
    <w:rsid w:val="00820376"/>
    <w:rsid w:val="00820FA0"/>
    <w:rsid w:val="00822779"/>
    <w:rsid w:val="008255EB"/>
    <w:rsid w:val="00827E17"/>
    <w:rsid w:val="00833C09"/>
    <w:rsid w:val="0085432A"/>
    <w:rsid w:val="00855010"/>
    <w:rsid w:val="00875BC5"/>
    <w:rsid w:val="00876707"/>
    <w:rsid w:val="00880537"/>
    <w:rsid w:val="00881905"/>
    <w:rsid w:val="00893E62"/>
    <w:rsid w:val="00894F75"/>
    <w:rsid w:val="0089569F"/>
    <w:rsid w:val="008A22EE"/>
    <w:rsid w:val="008A5614"/>
    <w:rsid w:val="008B1F68"/>
    <w:rsid w:val="008B287E"/>
    <w:rsid w:val="008B762C"/>
    <w:rsid w:val="008C49CC"/>
    <w:rsid w:val="008D1F35"/>
    <w:rsid w:val="008F03D7"/>
    <w:rsid w:val="008F187E"/>
    <w:rsid w:val="008F337E"/>
    <w:rsid w:val="008F6A88"/>
    <w:rsid w:val="009100FC"/>
    <w:rsid w:val="009164BD"/>
    <w:rsid w:val="0092337E"/>
    <w:rsid w:val="00933B5B"/>
    <w:rsid w:val="0093599F"/>
    <w:rsid w:val="009416B8"/>
    <w:rsid w:val="009554B2"/>
    <w:rsid w:val="00957A71"/>
    <w:rsid w:val="00960C22"/>
    <w:rsid w:val="009643F6"/>
    <w:rsid w:val="0096469C"/>
    <w:rsid w:val="009664D5"/>
    <w:rsid w:val="00975D98"/>
    <w:rsid w:val="0098522D"/>
    <w:rsid w:val="009852DE"/>
    <w:rsid w:val="0098747C"/>
    <w:rsid w:val="00997337"/>
    <w:rsid w:val="009A4897"/>
    <w:rsid w:val="009B3C95"/>
    <w:rsid w:val="009B584F"/>
    <w:rsid w:val="009C07DB"/>
    <w:rsid w:val="009C2390"/>
    <w:rsid w:val="009C49F0"/>
    <w:rsid w:val="009C697C"/>
    <w:rsid w:val="009E3E51"/>
    <w:rsid w:val="009E6B90"/>
    <w:rsid w:val="009F0347"/>
    <w:rsid w:val="009F4F0C"/>
    <w:rsid w:val="009F7C33"/>
    <w:rsid w:val="00A0294A"/>
    <w:rsid w:val="00A07D53"/>
    <w:rsid w:val="00A106DC"/>
    <w:rsid w:val="00A11133"/>
    <w:rsid w:val="00A177E5"/>
    <w:rsid w:val="00A21A1F"/>
    <w:rsid w:val="00A30AD5"/>
    <w:rsid w:val="00A33428"/>
    <w:rsid w:val="00A33768"/>
    <w:rsid w:val="00A451A5"/>
    <w:rsid w:val="00A46B30"/>
    <w:rsid w:val="00A61B6E"/>
    <w:rsid w:val="00A62F84"/>
    <w:rsid w:val="00A73C39"/>
    <w:rsid w:val="00A778C7"/>
    <w:rsid w:val="00A8016F"/>
    <w:rsid w:val="00A83AD3"/>
    <w:rsid w:val="00A869BA"/>
    <w:rsid w:val="00A96719"/>
    <w:rsid w:val="00AA3EA7"/>
    <w:rsid w:val="00AC5F2A"/>
    <w:rsid w:val="00AD6482"/>
    <w:rsid w:val="00AE107E"/>
    <w:rsid w:val="00AE6A79"/>
    <w:rsid w:val="00B0005C"/>
    <w:rsid w:val="00B2229D"/>
    <w:rsid w:val="00B23082"/>
    <w:rsid w:val="00B2466C"/>
    <w:rsid w:val="00B338E8"/>
    <w:rsid w:val="00B360BA"/>
    <w:rsid w:val="00B375F1"/>
    <w:rsid w:val="00B42719"/>
    <w:rsid w:val="00B51AD6"/>
    <w:rsid w:val="00B533F4"/>
    <w:rsid w:val="00B53FF6"/>
    <w:rsid w:val="00B5432D"/>
    <w:rsid w:val="00B718B7"/>
    <w:rsid w:val="00B86FE1"/>
    <w:rsid w:val="00B96E18"/>
    <w:rsid w:val="00BA0605"/>
    <w:rsid w:val="00BD01B3"/>
    <w:rsid w:val="00BD601C"/>
    <w:rsid w:val="00BD6199"/>
    <w:rsid w:val="00BE312E"/>
    <w:rsid w:val="00BE3FE0"/>
    <w:rsid w:val="00BE66BA"/>
    <w:rsid w:val="00BF4765"/>
    <w:rsid w:val="00C1251E"/>
    <w:rsid w:val="00C173F6"/>
    <w:rsid w:val="00C27E11"/>
    <w:rsid w:val="00C3149B"/>
    <w:rsid w:val="00C32AC6"/>
    <w:rsid w:val="00C35ECD"/>
    <w:rsid w:val="00C45D92"/>
    <w:rsid w:val="00C55EA6"/>
    <w:rsid w:val="00C600D0"/>
    <w:rsid w:val="00C62CAD"/>
    <w:rsid w:val="00C63903"/>
    <w:rsid w:val="00C927E5"/>
    <w:rsid w:val="00C965EA"/>
    <w:rsid w:val="00C97449"/>
    <w:rsid w:val="00CA6FA5"/>
    <w:rsid w:val="00CB017F"/>
    <w:rsid w:val="00CC3E04"/>
    <w:rsid w:val="00CD10B0"/>
    <w:rsid w:val="00CD5408"/>
    <w:rsid w:val="00CD70A3"/>
    <w:rsid w:val="00CD789F"/>
    <w:rsid w:val="00CE3C9C"/>
    <w:rsid w:val="00CF029B"/>
    <w:rsid w:val="00CF7413"/>
    <w:rsid w:val="00D00A8F"/>
    <w:rsid w:val="00D03F53"/>
    <w:rsid w:val="00D05F1C"/>
    <w:rsid w:val="00D06BB5"/>
    <w:rsid w:val="00D078FE"/>
    <w:rsid w:val="00D1394A"/>
    <w:rsid w:val="00D15312"/>
    <w:rsid w:val="00D20FA9"/>
    <w:rsid w:val="00D31CFD"/>
    <w:rsid w:val="00D57077"/>
    <w:rsid w:val="00D8110A"/>
    <w:rsid w:val="00D8357D"/>
    <w:rsid w:val="00D9296F"/>
    <w:rsid w:val="00D97A67"/>
    <w:rsid w:val="00DA5C53"/>
    <w:rsid w:val="00DA7F0B"/>
    <w:rsid w:val="00DB17C8"/>
    <w:rsid w:val="00DE2DB1"/>
    <w:rsid w:val="00DE5EBA"/>
    <w:rsid w:val="00E02A8F"/>
    <w:rsid w:val="00E0384F"/>
    <w:rsid w:val="00E30EED"/>
    <w:rsid w:val="00E32C0E"/>
    <w:rsid w:val="00E3363B"/>
    <w:rsid w:val="00E41C75"/>
    <w:rsid w:val="00E42FFD"/>
    <w:rsid w:val="00E620F9"/>
    <w:rsid w:val="00E62664"/>
    <w:rsid w:val="00E70393"/>
    <w:rsid w:val="00E70DA7"/>
    <w:rsid w:val="00E74606"/>
    <w:rsid w:val="00E7479E"/>
    <w:rsid w:val="00E81BAA"/>
    <w:rsid w:val="00E85876"/>
    <w:rsid w:val="00E86D0E"/>
    <w:rsid w:val="00EB1818"/>
    <w:rsid w:val="00EB3F5B"/>
    <w:rsid w:val="00EB570B"/>
    <w:rsid w:val="00EB6EFD"/>
    <w:rsid w:val="00EC1342"/>
    <w:rsid w:val="00EC2374"/>
    <w:rsid w:val="00ED7953"/>
    <w:rsid w:val="00EE0622"/>
    <w:rsid w:val="00EE08F9"/>
    <w:rsid w:val="00EE48E9"/>
    <w:rsid w:val="00EF007E"/>
    <w:rsid w:val="00F00B12"/>
    <w:rsid w:val="00F119D8"/>
    <w:rsid w:val="00F219C8"/>
    <w:rsid w:val="00F40722"/>
    <w:rsid w:val="00F40CA2"/>
    <w:rsid w:val="00F6244E"/>
    <w:rsid w:val="00F66A4E"/>
    <w:rsid w:val="00F71EE1"/>
    <w:rsid w:val="00F767B7"/>
    <w:rsid w:val="00F77435"/>
    <w:rsid w:val="00F91A16"/>
    <w:rsid w:val="00FA2E73"/>
    <w:rsid w:val="00FB17F4"/>
    <w:rsid w:val="00FB1EA9"/>
    <w:rsid w:val="00FB7096"/>
    <w:rsid w:val="00FC091E"/>
    <w:rsid w:val="00FC6B0D"/>
    <w:rsid w:val="00FD7804"/>
    <w:rsid w:val="01097D2F"/>
    <w:rsid w:val="01161381"/>
    <w:rsid w:val="01257317"/>
    <w:rsid w:val="0132783D"/>
    <w:rsid w:val="0155487B"/>
    <w:rsid w:val="0160084E"/>
    <w:rsid w:val="017817AA"/>
    <w:rsid w:val="017F6FD8"/>
    <w:rsid w:val="01813A41"/>
    <w:rsid w:val="01825DFC"/>
    <w:rsid w:val="01A7022B"/>
    <w:rsid w:val="01AA1679"/>
    <w:rsid w:val="01B668C3"/>
    <w:rsid w:val="01BD0DCF"/>
    <w:rsid w:val="01C50469"/>
    <w:rsid w:val="01E321BF"/>
    <w:rsid w:val="01EF2547"/>
    <w:rsid w:val="0200614A"/>
    <w:rsid w:val="02057C74"/>
    <w:rsid w:val="02172252"/>
    <w:rsid w:val="021A3862"/>
    <w:rsid w:val="0227136C"/>
    <w:rsid w:val="022B2C0A"/>
    <w:rsid w:val="023B3CED"/>
    <w:rsid w:val="023F66B6"/>
    <w:rsid w:val="02493090"/>
    <w:rsid w:val="02531D49"/>
    <w:rsid w:val="025334C0"/>
    <w:rsid w:val="02612B5C"/>
    <w:rsid w:val="026E5A12"/>
    <w:rsid w:val="026F32DD"/>
    <w:rsid w:val="0282441D"/>
    <w:rsid w:val="0287374E"/>
    <w:rsid w:val="02A06262"/>
    <w:rsid w:val="02B14B04"/>
    <w:rsid w:val="02CF3242"/>
    <w:rsid w:val="02D36DFE"/>
    <w:rsid w:val="02DA19A6"/>
    <w:rsid w:val="02F50C20"/>
    <w:rsid w:val="03155CE0"/>
    <w:rsid w:val="031E451D"/>
    <w:rsid w:val="034C7B79"/>
    <w:rsid w:val="034E4899"/>
    <w:rsid w:val="036C7AE7"/>
    <w:rsid w:val="03855767"/>
    <w:rsid w:val="03914CEF"/>
    <w:rsid w:val="03990047"/>
    <w:rsid w:val="039B6FA2"/>
    <w:rsid w:val="03AF2D1D"/>
    <w:rsid w:val="03B804CE"/>
    <w:rsid w:val="03C70711"/>
    <w:rsid w:val="03E47CA3"/>
    <w:rsid w:val="04150212"/>
    <w:rsid w:val="042F4508"/>
    <w:rsid w:val="04365EC8"/>
    <w:rsid w:val="044B5C73"/>
    <w:rsid w:val="044C0C16"/>
    <w:rsid w:val="045D14CA"/>
    <w:rsid w:val="049A35E3"/>
    <w:rsid w:val="04CD61FB"/>
    <w:rsid w:val="04E36052"/>
    <w:rsid w:val="04E74BBB"/>
    <w:rsid w:val="05045994"/>
    <w:rsid w:val="05107E95"/>
    <w:rsid w:val="05377B18"/>
    <w:rsid w:val="05507126"/>
    <w:rsid w:val="05544226"/>
    <w:rsid w:val="055E32F7"/>
    <w:rsid w:val="05616CB1"/>
    <w:rsid w:val="05663875"/>
    <w:rsid w:val="056F72B2"/>
    <w:rsid w:val="05760640"/>
    <w:rsid w:val="058F4B18"/>
    <w:rsid w:val="0593729F"/>
    <w:rsid w:val="05A066EC"/>
    <w:rsid w:val="05B9052D"/>
    <w:rsid w:val="05BC001D"/>
    <w:rsid w:val="05C00EF6"/>
    <w:rsid w:val="05C043A1"/>
    <w:rsid w:val="05C650AD"/>
    <w:rsid w:val="05D0482D"/>
    <w:rsid w:val="05D709B3"/>
    <w:rsid w:val="05D919C1"/>
    <w:rsid w:val="05D944F0"/>
    <w:rsid w:val="05E71585"/>
    <w:rsid w:val="06086A7D"/>
    <w:rsid w:val="06090251"/>
    <w:rsid w:val="060C4B01"/>
    <w:rsid w:val="0624009C"/>
    <w:rsid w:val="06257970"/>
    <w:rsid w:val="062A4F48"/>
    <w:rsid w:val="062F4C1A"/>
    <w:rsid w:val="063130C9"/>
    <w:rsid w:val="063227D0"/>
    <w:rsid w:val="06375C91"/>
    <w:rsid w:val="064A5629"/>
    <w:rsid w:val="06585F98"/>
    <w:rsid w:val="066F3121"/>
    <w:rsid w:val="06732DD2"/>
    <w:rsid w:val="067E4035"/>
    <w:rsid w:val="06817534"/>
    <w:rsid w:val="06A1305A"/>
    <w:rsid w:val="06A82EB5"/>
    <w:rsid w:val="06BD2BEF"/>
    <w:rsid w:val="06C54CB0"/>
    <w:rsid w:val="06DC0977"/>
    <w:rsid w:val="06DC65A4"/>
    <w:rsid w:val="07094BBF"/>
    <w:rsid w:val="0728596A"/>
    <w:rsid w:val="07416A2C"/>
    <w:rsid w:val="07465DF0"/>
    <w:rsid w:val="075C73C2"/>
    <w:rsid w:val="076369A2"/>
    <w:rsid w:val="077401F5"/>
    <w:rsid w:val="07754928"/>
    <w:rsid w:val="078739FC"/>
    <w:rsid w:val="078F59E9"/>
    <w:rsid w:val="07AD40C1"/>
    <w:rsid w:val="07B14BBB"/>
    <w:rsid w:val="07BF65A4"/>
    <w:rsid w:val="07CA4AF5"/>
    <w:rsid w:val="07CD358E"/>
    <w:rsid w:val="07D57174"/>
    <w:rsid w:val="07D576C9"/>
    <w:rsid w:val="07E957CF"/>
    <w:rsid w:val="07EE7232"/>
    <w:rsid w:val="08053EFD"/>
    <w:rsid w:val="08147637"/>
    <w:rsid w:val="081619E0"/>
    <w:rsid w:val="081C1E54"/>
    <w:rsid w:val="0826583C"/>
    <w:rsid w:val="083B791F"/>
    <w:rsid w:val="084E1401"/>
    <w:rsid w:val="08536B2A"/>
    <w:rsid w:val="085D5AE7"/>
    <w:rsid w:val="086F75C9"/>
    <w:rsid w:val="08907C6B"/>
    <w:rsid w:val="089B1EC4"/>
    <w:rsid w:val="08A632D3"/>
    <w:rsid w:val="08AA43DA"/>
    <w:rsid w:val="08AB098B"/>
    <w:rsid w:val="08AF4AEC"/>
    <w:rsid w:val="08C45EB0"/>
    <w:rsid w:val="08CB0CA3"/>
    <w:rsid w:val="08DA0EE6"/>
    <w:rsid w:val="08EE45A8"/>
    <w:rsid w:val="08F17FDE"/>
    <w:rsid w:val="08F95139"/>
    <w:rsid w:val="08FA6E92"/>
    <w:rsid w:val="09047D11"/>
    <w:rsid w:val="09093579"/>
    <w:rsid w:val="090A5711"/>
    <w:rsid w:val="090B1428"/>
    <w:rsid w:val="091D7025"/>
    <w:rsid w:val="0946657C"/>
    <w:rsid w:val="095073FA"/>
    <w:rsid w:val="095660AE"/>
    <w:rsid w:val="095A7C8D"/>
    <w:rsid w:val="096D3578"/>
    <w:rsid w:val="09724630"/>
    <w:rsid w:val="097E2250"/>
    <w:rsid w:val="09986A0B"/>
    <w:rsid w:val="09A662D7"/>
    <w:rsid w:val="09B71227"/>
    <w:rsid w:val="09CA2FA6"/>
    <w:rsid w:val="09CB12D0"/>
    <w:rsid w:val="09D04761"/>
    <w:rsid w:val="09DB69E1"/>
    <w:rsid w:val="09E573A3"/>
    <w:rsid w:val="0A042B2D"/>
    <w:rsid w:val="0A081A83"/>
    <w:rsid w:val="0A27069E"/>
    <w:rsid w:val="0A61614B"/>
    <w:rsid w:val="0A786C09"/>
    <w:rsid w:val="0A863551"/>
    <w:rsid w:val="0A876C58"/>
    <w:rsid w:val="0A902786"/>
    <w:rsid w:val="0A942BBA"/>
    <w:rsid w:val="0AAB0D8C"/>
    <w:rsid w:val="0ABA0FCF"/>
    <w:rsid w:val="0AC01E9A"/>
    <w:rsid w:val="0ACB616E"/>
    <w:rsid w:val="0ACE4A7B"/>
    <w:rsid w:val="0ACF355F"/>
    <w:rsid w:val="0ADE60E3"/>
    <w:rsid w:val="0B093D05"/>
    <w:rsid w:val="0B0941CB"/>
    <w:rsid w:val="0B3D6E88"/>
    <w:rsid w:val="0B416FFB"/>
    <w:rsid w:val="0B5C5BDE"/>
    <w:rsid w:val="0B770BE8"/>
    <w:rsid w:val="0B9D6BF9"/>
    <w:rsid w:val="0BD266EC"/>
    <w:rsid w:val="0BD87233"/>
    <w:rsid w:val="0BE36304"/>
    <w:rsid w:val="0BE6560D"/>
    <w:rsid w:val="0BF12B54"/>
    <w:rsid w:val="0BFD07DA"/>
    <w:rsid w:val="0C0D3381"/>
    <w:rsid w:val="0C2030B4"/>
    <w:rsid w:val="0C28511E"/>
    <w:rsid w:val="0C2C7CAB"/>
    <w:rsid w:val="0C3A6864"/>
    <w:rsid w:val="0C451138"/>
    <w:rsid w:val="0C590374"/>
    <w:rsid w:val="0C5A72D4"/>
    <w:rsid w:val="0C915D60"/>
    <w:rsid w:val="0CA12639"/>
    <w:rsid w:val="0CA535B9"/>
    <w:rsid w:val="0CBD7823"/>
    <w:rsid w:val="0CCC09CB"/>
    <w:rsid w:val="0CDC24AD"/>
    <w:rsid w:val="0CE57E5A"/>
    <w:rsid w:val="0CE67012"/>
    <w:rsid w:val="0CF1450C"/>
    <w:rsid w:val="0CF4019B"/>
    <w:rsid w:val="0D0222EC"/>
    <w:rsid w:val="0D122A3E"/>
    <w:rsid w:val="0D162E8F"/>
    <w:rsid w:val="0D3355BC"/>
    <w:rsid w:val="0D3A348B"/>
    <w:rsid w:val="0D40647F"/>
    <w:rsid w:val="0D441189"/>
    <w:rsid w:val="0D5374B9"/>
    <w:rsid w:val="0D553231"/>
    <w:rsid w:val="0D935B07"/>
    <w:rsid w:val="0D960A23"/>
    <w:rsid w:val="0DC123E3"/>
    <w:rsid w:val="0DDE3227"/>
    <w:rsid w:val="0DE9184E"/>
    <w:rsid w:val="0E12367C"/>
    <w:rsid w:val="0E2E2587"/>
    <w:rsid w:val="0E4B1576"/>
    <w:rsid w:val="0E547045"/>
    <w:rsid w:val="0E58495B"/>
    <w:rsid w:val="0E64279E"/>
    <w:rsid w:val="0E8518F4"/>
    <w:rsid w:val="0EA969AA"/>
    <w:rsid w:val="0EAD3C7B"/>
    <w:rsid w:val="0EAF24CD"/>
    <w:rsid w:val="0EB75826"/>
    <w:rsid w:val="0EBB3C66"/>
    <w:rsid w:val="0EBB45B0"/>
    <w:rsid w:val="0F3F5F47"/>
    <w:rsid w:val="0F576599"/>
    <w:rsid w:val="0F6A4791"/>
    <w:rsid w:val="0F930041"/>
    <w:rsid w:val="0FAE6C29"/>
    <w:rsid w:val="0FC51CE8"/>
    <w:rsid w:val="100223E4"/>
    <w:rsid w:val="100F554C"/>
    <w:rsid w:val="10152804"/>
    <w:rsid w:val="101F4CFE"/>
    <w:rsid w:val="102806EA"/>
    <w:rsid w:val="103A1217"/>
    <w:rsid w:val="10453240"/>
    <w:rsid w:val="1046715A"/>
    <w:rsid w:val="10623427"/>
    <w:rsid w:val="107621DF"/>
    <w:rsid w:val="10865C7F"/>
    <w:rsid w:val="109C6E08"/>
    <w:rsid w:val="10AC760C"/>
    <w:rsid w:val="10B10D45"/>
    <w:rsid w:val="10C646EA"/>
    <w:rsid w:val="10CD2C5F"/>
    <w:rsid w:val="10CE7EBA"/>
    <w:rsid w:val="10D3740C"/>
    <w:rsid w:val="10D5425A"/>
    <w:rsid w:val="10EA0134"/>
    <w:rsid w:val="10EE19D3"/>
    <w:rsid w:val="10F16DCD"/>
    <w:rsid w:val="10F25B74"/>
    <w:rsid w:val="110307F9"/>
    <w:rsid w:val="111A46D0"/>
    <w:rsid w:val="112A260B"/>
    <w:rsid w:val="114769A1"/>
    <w:rsid w:val="11654C75"/>
    <w:rsid w:val="11677BA5"/>
    <w:rsid w:val="11716160"/>
    <w:rsid w:val="11752F79"/>
    <w:rsid w:val="117C2E73"/>
    <w:rsid w:val="117D57BD"/>
    <w:rsid w:val="11826A24"/>
    <w:rsid w:val="118F65E6"/>
    <w:rsid w:val="119E6026"/>
    <w:rsid w:val="11A77DD3"/>
    <w:rsid w:val="11CB1D14"/>
    <w:rsid w:val="11CC15E8"/>
    <w:rsid w:val="11CE3880"/>
    <w:rsid w:val="11E15DDB"/>
    <w:rsid w:val="11E5266E"/>
    <w:rsid w:val="11F03528"/>
    <w:rsid w:val="11FE0CF6"/>
    <w:rsid w:val="1218459A"/>
    <w:rsid w:val="121E178F"/>
    <w:rsid w:val="12277E78"/>
    <w:rsid w:val="123435EF"/>
    <w:rsid w:val="12453041"/>
    <w:rsid w:val="129B16E6"/>
    <w:rsid w:val="12A1106E"/>
    <w:rsid w:val="12A52565"/>
    <w:rsid w:val="12AB0982"/>
    <w:rsid w:val="12BB771E"/>
    <w:rsid w:val="12BD50B9"/>
    <w:rsid w:val="12C01518"/>
    <w:rsid w:val="12D17EA5"/>
    <w:rsid w:val="12D90460"/>
    <w:rsid w:val="12E8656E"/>
    <w:rsid w:val="12E93397"/>
    <w:rsid w:val="12F9273B"/>
    <w:rsid w:val="12FD079B"/>
    <w:rsid w:val="130320E9"/>
    <w:rsid w:val="13053949"/>
    <w:rsid w:val="13165211"/>
    <w:rsid w:val="13345806"/>
    <w:rsid w:val="1335544A"/>
    <w:rsid w:val="13684DFD"/>
    <w:rsid w:val="137F7A39"/>
    <w:rsid w:val="13815D45"/>
    <w:rsid w:val="13887212"/>
    <w:rsid w:val="139231D1"/>
    <w:rsid w:val="13A04ADA"/>
    <w:rsid w:val="13AB1FDE"/>
    <w:rsid w:val="13AF66D9"/>
    <w:rsid w:val="13AF6871"/>
    <w:rsid w:val="13B81E24"/>
    <w:rsid w:val="13CA1B57"/>
    <w:rsid w:val="13E850BC"/>
    <w:rsid w:val="14062128"/>
    <w:rsid w:val="1406306D"/>
    <w:rsid w:val="14100781"/>
    <w:rsid w:val="141542B3"/>
    <w:rsid w:val="141B7FF4"/>
    <w:rsid w:val="14407B8F"/>
    <w:rsid w:val="144A7030"/>
    <w:rsid w:val="14505E02"/>
    <w:rsid w:val="14586A70"/>
    <w:rsid w:val="145F6743"/>
    <w:rsid w:val="14603903"/>
    <w:rsid w:val="146855F8"/>
    <w:rsid w:val="148A62EF"/>
    <w:rsid w:val="14922675"/>
    <w:rsid w:val="14B52807"/>
    <w:rsid w:val="14BE2ECF"/>
    <w:rsid w:val="14C12F5A"/>
    <w:rsid w:val="14C421CA"/>
    <w:rsid w:val="14D54096"/>
    <w:rsid w:val="14F15252"/>
    <w:rsid w:val="150A2F86"/>
    <w:rsid w:val="150D2643"/>
    <w:rsid w:val="151B5225"/>
    <w:rsid w:val="151E215B"/>
    <w:rsid w:val="15522F42"/>
    <w:rsid w:val="15561574"/>
    <w:rsid w:val="1558568D"/>
    <w:rsid w:val="15653784"/>
    <w:rsid w:val="156C1118"/>
    <w:rsid w:val="15852F26"/>
    <w:rsid w:val="159863B1"/>
    <w:rsid w:val="159A517C"/>
    <w:rsid w:val="15A0315C"/>
    <w:rsid w:val="15AD5533"/>
    <w:rsid w:val="15B00C46"/>
    <w:rsid w:val="15CD3689"/>
    <w:rsid w:val="15D144C2"/>
    <w:rsid w:val="15D32F45"/>
    <w:rsid w:val="15DA0777"/>
    <w:rsid w:val="15ED4D6D"/>
    <w:rsid w:val="15FF01DE"/>
    <w:rsid w:val="160101E2"/>
    <w:rsid w:val="160B34F9"/>
    <w:rsid w:val="16382CA9"/>
    <w:rsid w:val="163B0AEA"/>
    <w:rsid w:val="166A49C1"/>
    <w:rsid w:val="16AD70B6"/>
    <w:rsid w:val="16B70AB9"/>
    <w:rsid w:val="16BB01E4"/>
    <w:rsid w:val="16CD3E38"/>
    <w:rsid w:val="16DB5131"/>
    <w:rsid w:val="16FC64CC"/>
    <w:rsid w:val="16FF643C"/>
    <w:rsid w:val="17141626"/>
    <w:rsid w:val="17164531"/>
    <w:rsid w:val="17350030"/>
    <w:rsid w:val="173B6C95"/>
    <w:rsid w:val="173E3223"/>
    <w:rsid w:val="174330D0"/>
    <w:rsid w:val="17485346"/>
    <w:rsid w:val="17500CF1"/>
    <w:rsid w:val="175C099D"/>
    <w:rsid w:val="179E5715"/>
    <w:rsid w:val="17B255FB"/>
    <w:rsid w:val="17DC1F43"/>
    <w:rsid w:val="17DC3F56"/>
    <w:rsid w:val="17E92EF4"/>
    <w:rsid w:val="180A3163"/>
    <w:rsid w:val="18153CE9"/>
    <w:rsid w:val="18267CA4"/>
    <w:rsid w:val="185365BF"/>
    <w:rsid w:val="18610CDC"/>
    <w:rsid w:val="186159D7"/>
    <w:rsid w:val="186D58D3"/>
    <w:rsid w:val="18901263"/>
    <w:rsid w:val="189100C6"/>
    <w:rsid w:val="18B352B0"/>
    <w:rsid w:val="18BB0E0C"/>
    <w:rsid w:val="18C7014D"/>
    <w:rsid w:val="18C80D5B"/>
    <w:rsid w:val="18D47700"/>
    <w:rsid w:val="18DE057F"/>
    <w:rsid w:val="18E57939"/>
    <w:rsid w:val="19103E5D"/>
    <w:rsid w:val="191044B0"/>
    <w:rsid w:val="19376677"/>
    <w:rsid w:val="196549B7"/>
    <w:rsid w:val="19715E69"/>
    <w:rsid w:val="1978041D"/>
    <w:rsid w:val="198645D5"/>
    <w:rsid w:val="198C7FDB"/>
    <w:rsid w:val="19947A33"/>
    <w:rsid w:val="19A075E2"/>
    <w:rsid w:val="19A65264"/>
    <w:rsid w:val="19F42A02"/>
    <w:rsid w:val="19F53DD2"/>
    <w:rsid w:val="1A1917B3"/>
    <w:rsid w:val="1A3D7527"/>
    <w:rsid w:val="1A472154"/>
    <w:rsid w:val="1A4F792D"/>
    <w:rsid w:val="1A513927"/>
    <w:rsid w:val="1A654388"/>
    <w:rsid w:val="1A693565"/>
    <w:rsid w:val="1A6D6D72"/>
    <w:rsid w:val="1A911621"/>
    <w:rsid w:val="1AB45F83"/>
    <w:rsid w:val="1AC67CAC"/>
    <w:rsid w:val="1ACB68E1"/>
    <w:rsid w:val="1ACC7CC8"/>
    <w:rsid w:val="1AD07837"/>
    <w:rsid w:val="1AD31C39"/>
    <w:rsid w:val="1AF30C7A"/>
    <w:rsid w:val="1B0353F5"/>
    <w:rsid w:val="1B0E7C1A"/>
    <w:rsid w:val="1B182126"/>
    <w:rsid w:val="1B285AE1"/>
    <w:rsid w:val="1B28788F"/>
    <w:rsid w:val="1B312DC5"/>
    <w:rsid w:val="1B322B1B"/>
    <w:rsid w:val="1B3C77A3"/>
    <w:rsid w:val="1B5C1C2F"/>
    <w:rsid w:val="1B6C6194"/>
    <w:rsid w:val="1B6F1B8E"/>
    <w:rsid w:val="1B78119A"/>
    <w:rsid w:val="1B7D4190"/>
    <w:rsid w:val="1B8076CB"/>
    <w:rsid w:val="1BA23AE5"/>
    <w:rsid w:val="1BB24DE7"/>
    <w:rsid w:val="1BB742FA"/>
    <w:rsid w:val="1BB76E65"/>
    <w:rsid w:val="1BC924A1"/>
    <w:rsid w:val="1BCE25D7"/>
    <w:rsid w:val="1BD156A6"/>
    <w:rsid w:val="1BD54EB4"/>
    <w:rsid w:val="1BDE5270"/>
    <w:rsid w:val="1BF956CF"/>
    <w:rsid w:val="1BF95ED5"/>
    <w:rsid w:val="1BFF11C4"/>
    <w:rsid w:val="1C00023C"/>
    <w:rsid w:val="1C083CB8"/>
    <w:rsid w:val="1C273FEB"/>
    <w:rsid w:val="1C387503"/>
    <w:rsid w:val="1C483F1D"/>
    <w:rsid w:val="1C6E0AED"/>
    <w:rsid w:val="1C7535E6"/>
    <w:rsid w:val="1CBF05BF"/>
    <w:rsid w:val="1CCB706C"/>
    <w:rsid w:val="1CE43C8A"/>
    <w:rsid w:val="1D0D782F"/>
    <w:rsid w:val="1D1D6812"/>
    <w:rsid w:val="1D2A34AD"/>
    <w:rsid w:val="1D57062F"/>
    <w:rsid w:val="1D6D1ED1"/>
    <w:rsid w:val="1DAD6772"/>
    <w:rsid w:val="1DAE4F9B"/>
    <w:rsid w:val="1DB46794"/>
    <w:rsid w:val="1DBC793F"/>
    <w:rsid w:val="1DBD08D4"/>
    <w:rsid w:val="1DCA3975"/>
    <w:rsid w:val="1DD41F50"/>
    <w:rsid w:val="1DD43CFE"/>
    <w:rsid w:val="1DEC15DB"/>
    <w:rsid w:val="1DED0304"/>
    <w:rsid w:val="1DFA4BCA"/>
    <w:rsid w:val="1E037A02"/>
    <w:rsid w:val="1E186916"/>
    <w:rsid w:val="1E432C32"/>
    <w:rsid w:val="1E4F5A7B"/>
    <w:rsid w:val="1E537319"/>
    <w:rsid w:val="1E637854"/>
    <w:rsid w:val="1E96518D"/>
    <w:rsid w:val="1E984D2C"/>
    <w:rsid w:val="1E990AA4"/>
    <w:rsid w:val="1EC93675"/>
    <w:rsid w:val="1ED0674A"/>
    <w:rsid w:val="1EDD751C"/>
    <w:rsid w:val="1EDD76D2"/>
    <w:rsid w:val="1EE44415"/>
    <w:rsid w:val="1EE6018D"/>
    <w:rsid w:val="1F02343B"/>
    <w:rsid w:val="1F0965DD"/>
    <w:rsid w:val="1F0E4FEE"/>
    <w:rsid w:val="1F1476A0"/>
    <w:rsid w:val="1F2E1825"/>
    <w:rsid w:val="1F307F51"/>
    <w:rsid w:val="1F4038FA"/>
    <w:rsid w:val="1F4153C3"/>
    <w:rsid w:val="1F422EEA"/>
    <w:rsid w:val="1F446C62"/>
    <w:rsid w:val="1F4C5B16"/>
    <w:rsid w:val="1F503858"/>
    <w:rsid w:val="1F551EB4"/>
    <w:rsid w:val="1F594E69"/>
    <w:rsid w:val="1F6E3CDF"/>
    <w:rsid w:val="1F896D6A"/>
    <w:rsid w:val="1F947BE9"/>
    <w:rsid w:val="1F9A0F77"/>
    <w:rsid w:val="1FD15EDD"/>
    <w:rsid w:val="1FE30BCD"/>
    <w:rsid w:val="1FEB7691"/>
    <w:rsid w:val="1FEC3A03"/>
    <w:rsid w:val="20005323"/>
    <w:rsid w:val="201C7BDE"/>
    <w:rsid w:val="20207222"/>
    <w:rsid w:val="202820DF"/>
    <w:rsid w:val="20483D02"/>
    <w:rsid w:val="204B452C"/>
    <w:rsid w:val="20891098"/>
    <w:rsid w:val="208E1534"/>
    <w:rsid w:val="20B171C1"/>
    <w:rsid w:val="20B84966"/>
    <w:rsid w:val="20DE6C42"/>
    <w:rsid w:val="21052421"/>
    <w:rsid w:val="2111004A"/>
    <w:rsid w:val="21183C07"/>
    <w:rsid w:val="21224E39"/>
    <w:rsid w:val="2122794D"/>
    <w:rsid w:val="2132347E"/>
    <w:rsid w:val="2148274F"/>
    <w:rsid w:val="216058A9"/>
    <w:rsid w:val="216E7FC6"/>
    <w:rsid w:val="218E2416"/>
    <w:rsid w:val="21920158"/>
    <w:rsid w:val="21C052C8"/>
    <w:rsid w:val="21C86108"/>
    <w:rsid w:val="21DD63A5"/>
    <w:rsid w:val="21E36C06"/>
    <w:rsid w:val="21F6641D"/>
    <w:rsid w:val="225D2967"/>
    <w:rsid w:val="2260745F"/>
    <w:rsid w:val="227855A0"/>
    <w:rsid w:val="228757E3"/>
    <w:rsid w:val="228D4A12"/>
    <w:rsid w:val="229A553A"/>
    <w:rsid w:val="22B365D8"/>
    <w:rsid w:val="22D05D90"/>
    <w:rsid w:val="22F10EAE"/>
    <w:rsid w:val="22F1611C"/>
    <w:rsid w:val="22FB2D4B"/>
    <w:rsid w:val="22FB3ADB"/>
    <w:rsid w:val="230C7A96"/>
    <w:rsid w:val="232211A0"/>
    <w:rsid w:val="233308F6"/>
    <w:rsid w:val="23696C97"/>
    <w:rsid w:val="236E2B22"/>
    <w:rsid w:val="237813DD"/>
    <w:rsid w:val="237A0EA4"/>
    <w:rsid w:val="239E7120"/>
    <w:rsid w:val="23AD6C4D"/>
    <w:rsid w:val="23DD452A"/>
    <w:rsid w:val="23DE44EE"/>
    <w:rsid w:val="23E34C9B"/>
    <w:rsid w:val="23E52BF7"/>
    <w:rsid w:val="241067BA"/>
    <w:rsid w:val="241C1F5B"/>
    <w:rsid w:val="241C7DBD"/>
    <w:rsid w:val="24443260"/>
    <w:rsid w:val="247E49C4"/>
    <w:rsid w:val="24925CBD"/>
    <w:rsid w:val="24A501A2"/>
    <w:rsid w:val="24A51F50"/>
    <w:rsid w:val="24A87D56"/>
    <w:rsid w:val="24F44C86"/>
    <w:rsid w:val="251A1081"/>
    <w:rsid w:val="252723FA"/>
    <w:rsid w:val="252E4315"/>
    <w:rsid w:val="25317C88"/>
    <w:rsid w:val="25484130"/>
    <w:rsid w:val="25512BA8"/>
    <w:rsid w:val="255D0A7D"/>
    <w:rsid w:val="25696C2E"/>
    <w:rsid w:val="256F255E"/>
    <w:rsid w:val="257858B7"/>
    <w:rsid w:val="25810BEE"/>
    <w:rsid w:val="2599171D"/>
    <w:rsid w:val="25A5657F"/>
    <w:rsid w:val="25B72F72"/>
    <w:rsid w:val="25BD4455"/>
    <w:rsid w:val="25CE197B"/>
    <w:rsid w:val="25D649BC"/>
    <w:rsid w:val="25D86356"/>
    <w:rsid w:val="25DB4DE3"/>
    <w:rsid w:val="25F7772B"/>
    <w:rsid w:val="2601604F"/>
    <w:rsid w:val="260E5A46"/>
    <w:rsid w:val="26173A9D"/>
    <w:rsid w:val="26320878"/>
    <w:rsid w:val="26422054"/>
    <w:rsid w:val="266B4E43"/>
    <w:rsid w:val="26700343"/>
    <w:rsid w:val="26747E2C"/>
    <w:rsid w:val="267F5ACC"/>
    <w:rsid w:val="268E6BF0"/>
    <w:rsid w:val="26A050C5"/>
    <w:rsid w:val="26D07BC5"/>
    <w:rsid w:val="26D12B9F"/>
    <w:rsid w:val="26D96300"/>
    <w:rsid w:val="26FC7E22"/>
    <w:rsid w:val="270B01F6"/>
    <w:rsid w:val="270D3E41"/>
    <w:rsid w:val="273A7C58"/>
    <w:rsid w:val="27633147"/>
    <w:rsid w:val="27737BD1"/>
    <w:rsid w:val="27830026"/>
    <w:rsid w:val="278B7B24"/>
    <w:rsid w:val="27B20448"/>
    <w:rsid w:val="27B5749C"/>
    <w:rsid w:val="27BC5F2F"/>
    <w:rsid w:val="27D13AFA"/>
    <w:rsid w:val="27DA4FB6"/>
    <w:rsid w:val="27EC77E5"/>
    <w:rsid w:val="27EE6E31"/>
    <w:rsid w:val="27F37477"/>
    <w:rsid w:val="28011B94"/>
    <w:rsid w:val="280B2281"/>
    <w:rsid w:val="28132854"/>
    <w:rsid w:val="281573ED"/>
    <w:rsid w:val="28305FD5"/>
    <w:rsid w:val="283F26BC"/>
    <w:rsid w:val="28461C9C"/>
    <w:rsid w:val="28572169"/>
    <w:rsid w:val="28594A45"/>
    <w:rsid w:val="286F11F3"/>
    <w:rsid w:val="287C44CA"/>
    <w:rsid w:val="289607B9"/>
    <w:rsid w:val="28B27332"/>
    <w:rsid w:val="29001DAB"/>
    <w:rsid w:val="29322C3B"/>
    <w:rsid w:val="295B37F7"/>
    <w:rsid w:val="296B2A0A"/>
    <w:rsid w:val="29982961"/>
    <w:rsid w:val="29CE5AA6"/>
    <w:rsid w:val="2A222295"/>
    <w:rsid w:val="2A2E0C3A"/>
    <w:rsid w:val="2A44045E"/>
    <w:rsid w:val="2A5206CF"/>
    <w:rsid w:val="2A6401B8"/>
    <w:rsid w:val="2A65738E"/>
    <w:rsid w:val="2A9D36CA"/>
    <w:rsid w:val="2AAE5148"/>
    <w:rsid w:val="2AD30362"/>
    <w:rsid w:val="2AD86C9A"/>
    <w:rsid w:val="2AF23A16"/>
    <w:rsid w:val="2B277B63"/>
    <w:rsid w:val="2B514F38"/>
    <w:rsid w:val="2B5621F6"/>
    <w:rsid w:val="2B595843"/>
    <w:rsid w:val="2B5F129D"/>
    <w:rsid w:val="2B644AE3"/>
    <w:rsid w:val="2B7462A4"/>
    <w:rsid w:val="2B81686E"/>
    <w:rsid w:val="2B913769"/>
    <w:rsid w:val="2BA03472"/>
    <w:rsid w:val="2BA6268E"/>
    <w:rsid w:val="2BB51456"/>
    <w:rsid w:val="2BBB02AC"/>
    <w:rsid w:val="2BCC070B"/>
    <w:rsid w:val="2BD001FB"/>
    <w:rsid w:val="2BD376AB"/>
    <w:rsid w:val="2C071B96"/>
    <w:rsid w:val="2C0C12C0"/>
    <w:rsid w:val="2C18486D"/>
    <w:rsid w:val="2C4900D0"/>
    <w:rsid w:val="2C52061F"/>
    <w:rsid w:val="2C520C10"/>
    <w:rsid w:val="2C557E64"/>
    <w:rsid w:val="2C70553A"/>
    <w:rsid w:val="2CB405CE"/>
    <w:rsid w:val="2CB847EB"/>
    <w:rsid w:val="2CBC42DB"/>
    <w:rsid w:val="2CC11743"/>
    <w:rsid w:val="2CE2162C"/>
    <w:rsid w:val="2CF33A75"/>
    <w:rsid w:val="2CFC27F3"/>
    <w:rsid w:val="2D070398"/>
    <w:rsid w:val="2D0A773C"/>
    <w:rsid w:val="2D0C3CE8"/>
    <w:rsid w:val="2D0F4D53"/>
    <w:rsid w:val="2D102879"/>
    <w:rsid w:val="2D185597"/>
    <w:rsid w:val="2D2C5FB8"/>
    <w:rsid w:val="2D486A1B"/>
    <w:rsid w:val="2D5621DC"/>
    <w:rsid w:val="2D594220"/>
    <w:rsid w:val="2D7C7C1C"/>
    <w:rsid w:val="2D8617C6"/>
    <w:rsid w:val="2D994C40"/>
    <w:rsid w:val="2DA52FC1"/>
    <w:rsid w:val="2DDE305F"/>
    <w:rsid w:val="2DE12C60"/>
    <w:rsid w:val="2DE26928"/>
    <w:rsid w:val="2DE955A4"/>
    <w:rsid w:val="2DFE7860"/>
    <w:rsid w:val="2E3A5DFF"/>
    <w:rsid w:val="2E687433"/>
    <w:rsid w:val="2E712088"/>
    <w:rsid w:val="2E8157DC"/>
    <w:rsid w:val="2E825AD2"/>
    <w:rsid w:val="2E88748F"/>
    <w:rsid w:val="2E992738"/>
    <w:rsid w:val="2EA339A5"/>
    <w:rsid w:val="2EA9088F"/>
    <w:rsid w:val="2EC51D18"/>
    <w:rsid w:val="2EC671E4"/>
    <w:rsid w:val="2ED51684"/>
    <w:rsid w:val="2EE23DA1"/>
    <w:rsid w:val="2EF2479E"/>
    <w:rsid w:val="2EF7784D"/>
    <w:rsid w:val="2EFB72A5"/>
    <w:rsid w:val="2F06074C"/>
    <w:rsid w:val="2F1E48F7"/>
    <w:rsid w:val="2F2D14C0"/>
    <w:rsid w:val="2F4F7689"/>
    <w:rsid w:val="2F65401A"/>
    <w:rsid w:val="2F70551E"/>
    <w:rsid w:val="2F910D66"/>
    <w:rsid w:val="2F917175"/>
    <w:rsid w:val="2FB952B4"/>
    <w:rsid w:val="2FBD0A96"/>
    <w:rsid w:val="2FBE036A"/>
    <w:rsid w:val="2FC53D4A"/>
    <w:rsid w:val="2FE75097"/>
    <w:rsid w:val="2FF16992"/>
    <w:rsid w:val="2FF344B8"/>
    <w:rsid w:val="2FF35785"/>
    <w:rsid w:val="2FF81ACE"/>
    <w:rsid w:val="2FF9238E"/>
    <w:rsid w:val="30322514"/>
    <w:rsid w:val="304657BB"/>
    <w:rsid w:val="30556F21"/>
    <w:rsid w:val="30641927"/>
    <w:rsid w:val="30884956"/>
    <w:rsid w:val="30986E0D"/>
    <w:rsid w:val="30CB71E3"/>
    <w:rsid w:val="30DF7011"/>
    <w:rsid w:val="30E7157C"/>
    <w:rsid w:val="30F04DDC"/>
    <w:rsid w:val="310D15A9"/>
    <w:rsid w:val="31126BC0"/>
    <w:rsid w:val="311A222F"/>
    <w:rsid w:val="311E37B6"/>
    <w:rsid w:val="3121514F"/>
    <w:rsid w:val="312C3DE1"/>
    <w:rsid w:val="313E1763"/>
    <w:rsid w:val="31483202"/>
    <w:rsid w:val="314964D6"/>
    <w:rsid w:val="31505D6B"/>
    <w:rsid w:val="31505E6B"/>
    <w:rsid w:val="3152632A"/>
    <w:rsid w:val="31593D93"/>
    <w:rsid w:val="316D2048"/>
    <w:rsid w:val="3171536C"/>
    <w:rsid w:val="31742EB2"/>
    <w:rsid w:val="318B242E"/>
    <w:rsid w:val="31B00383"/>
    <w:rsid w:val="31B71515"/>
    <w:rsid w:val="31CA11A2"/>
    <w:rsid w:val="31CF4AB1"/>
    <w:rsid w:val="31DE75C5"/>
    <w:rsid w:val="31E06CBE"/>
    <w:rsid w:val="31F12C79"/>
    <w:rsid w:val="320261C4"/>
    <w:rsid w:val="320327E8"/>
    <w:rsid w:val="32161AB2"/>
    <w:rsid w:val="321E3342"/>
    <w:rsid w:val="32263B47"/>
    <w:rsid w:val="324D479C"/>
    <w:rsid w:val="32601BAD"/>
    <w:rsid w:val="326453B1"/>
    <w:rsid w:val="32952F4C"/>
    <w:rsid w:val="32963820"/>
    <w:rsid w:val="32977AF8"/>
    <w:rsid w:val="32DE38BE"/>
    <w:rsid w:val="32FA3DAF"/>
    <w:rsid w:val="33197AA3"/>
    <w:rsid w:val="331E002D"/>
    <w:rsid w:val="33333DF2"/>
    <w:rsid w:val="33576B0C"/>
    <w:rsid w:val="337C2B86"/>
    <w:rsid w:val="33883169"/>
    <w:rsid w:val="33CC3776"/>
    <w:rsid w:val="33F05517"/>
    <w:rsid w:val="33FA13D4"/>
    <w:rsid w:val="33FE034B"/>
    <w:rsid w:val="34052934"/>
    <w:rsid w:val="3422536C"/>
    <w:rsid w:val="342F1F88"/>
    <w:rsid w:val="34572B3B"/>
    <w:rsid w:val="34675474"/>
    <w:rsid w:val="348C6C89"/>
    <w:rsid w:val="34951FE2"/>
    <w:rsid w:val="34A244D0"/>
    <w:rsid w:val="34B71490"/>
    <w:rsid w:val="34BB131C"/>
    <w:rsid w:val="34C915A1"/>
    <w:rsid w:val="34D128B0"/>
    <w:rsid w:val="34D55CA6"/>
    <w:rsid w:val="34F767F8"/>
    <w:rsid w:val="35082F60"/>
    <w:rsid w:val="350B5E00"/>
    <w:rsid w:val="350C08BE"/>
    <w:rsid w:val="351433FA"/>
    <w:rsid w:val="351A24E7"/>
    <w:rsid w:val="353006C9"/>
    <w:rsid w:val="35417A73"/>
    <w:rsid w:val="355E1D88"/>
    <w:rsid w:val="35607CF6"/>
    <w:rsid w:val="359940BE"/>
    <w:rsid w:val="35BE2E72"/>
    <w:rsid w:val="35C372ED"/>
    <w:rsid w:val="35CB7E1E"/>
    <w:rsid w:val="35DC597F"/>
    <w:rsid w:val="35DD75FE"/>
    <w:rsid w:val="35DE4861"/>
    <w:rsid w:val="35E64B49"/>
    <w:rsid w:val="3627628E"/>
    <w:rsid w:val="362C24D2"/>
    <w:rsid w:val="36332F50"/>
    <w:rsid w:val="363F699E"/>
    <w:rsid w:val="36514DE1"/>
    <w:rsid w:val="366E5800"/>
    <w:rsid w:val="367F63D3"/>
    <w:rsid w:val="368C359C"/>
    <w:rsid w:val="368F0CB2"/>
    <w:rsid w:val="36B05A06"/>
    <w:rsid w:val="36B85B13"/>
    <w:rsid w:val="36B96B74"/>
    <w:rsid w:val="36CA1FCC"/>
    <w:rsid w:val="36DA2194"/>
    <w:rsid w:val="374558A4"/>
    <w:rsid w:val="374C50B7"/>
    <w:rsid w:val="374D6BA3"/>
    <w:rsid w:val="37503F9E"/>
    <w:rsid w:val="37542D46"/>
    <w:rsid w:val="37645A3B"/>
    <w:rsid w:val="3776777C"/>
    <w:rsid w:val="379D4064"/>
    <w:rsid w:val="37C14E9C"/>
    <w:rsid w:val="37C4673A"/>
    <w:rsid w:val="37E33064"/>
    <w:rsid w:val="381476C1"/>
    <w:rsid w:val="38284F1B"/>
    <w:rsid w:val="38305B7D"/>
    <w:rsid w:val="38310570"/>
    <w:rsid w:val="38365D05"/>
    <w:rsid w:val="383A6D6A"/>
    <w:rsid w:val="38463457"/>
    <w:rsid w:val="38563836"/>
    <w:rsid w:val="386C3BC6"/>
    <w:rsid w:val="38761738"/>
    <w:rsid w:val="387B329C"/>
    <w:rsid w:val="388E63CD"/>
    <w:rsid w:val="38977CDC"/>
    <w:rsid w:val="389E359A"/>
    <w:rsid w:val="389F7E39"/>
    <w:rsid w:val="38A97E48"/>
    <w:rsid w:val="38B63099"/>
    <w:rsid w:val="38B73D64"/>
    <w:rsid w:val="38C70290"/>
    <w:rsid w:val="38D806EF"/>
    <w:rsid w:val="38F65019"/>
    <w:rsid w:val="38FD63A7"/>
    <w:rsid w:val="391060DB"/>
    <w:rsid w:val="391334D5"/>
    <w:rsid w:val="391F1A18"/>
    <w:rsid w:val="39240C19"/>
    <w:rsid w:val="392B787A"/>
    <w:rsid w:val="392D2B72"/>
    <w:rsid w:val="39312653"/>
    <w:rsid w:val="393B1783"/>
    <w:rsid w:val="395104A1"/>
    <w:rsid w:val="39592C8F"/>
    <w:rsid w:val="395C290E"/>
    <w:rsid w:val="39693A3D"/>
    <w:rsid w:val="397F6DBC"/>
    <w:rsid w:val="39805D6E"/>
    <w:rsid w:val="39932868"/>
    <w:rsid w:val="399D7AFF"/>
    <w:rsid w:val="39A60FA8"/>
    <w:rsid w:val="39A84565"/>
    <w:rsid w:val="39B06F76"/>
    <w:rsid w:val="39B25E48"/>
    <w:rsid w:val="39BC7DFD"/>
    <w:rsid w:val="39C649EB"/>
    <w:rsid w:val="39DB383C"/>
    <w:rsid w:val="3A1A5C49"/>
    <w:rsid w:val="3A227348"/>
    <w:rsid w:val="3A26548A"/>
    <w:rsid w:val="3A2D6818"/>
    <w:rsid w:val="3A2E488D"/>
    <w:rsid w:val="3A7935FC"/>
    <w:rsid w:val="3A7E0E22"/>
    <w:rsid w:val="3A966BFF"/>
    <w:rsid w:val="3A971F7B"/>
    <w:rsid w:val="3AA27206"/>
    <w:rsid w:val="3AC22209"/>
    <w:rsid w:val="3B082DE1"/>
    <w:rsid w:val="3B1A0F83"/>
    <w:rsid w:val="3B265A76"/>
    <w:rsid w:val="3B390975"/>
    <w:rsid w:val="3B443337"/>
    <w:rsid w:val="3B5576EF"/>
    <w:rsid w:val="3B691AD2"/>
    <w:rsid w:val="3B7364AD"/>
    <w:rsid w:val="3B7E3B9C"/>
    <w:rsid w:val="3B8C57C0"/>
    <w:rsid w:val="3B9B5A04"/>
    <w:rsid w:val="3B9D641D"/>
    <w:rsid w:val="3BCE2366"/>
    <w:rsid w:val="3BEF38F1"/>
    <w:rsid w:val="3BFE7295"/>
    <w:rsid w:val="3C0555B2"/>
    <w:rsid w:val="3C065573"/>
    <w:rsid w:val="3C3C71E7"/>
    <w:rsid w:val="3C485B8B"/>
    <w:rsid w:val="3C4C3631"/>
    <w:rsid w:val="3C4F0B4F"/>
    <w:rsid w:val="3C7A0A20"/>
    <w:rsid w:val="3C914A84"/>
    <w:rsid w:val="3CA465F3"/>
    <w:rsid w:val="3CAD1E92"/>
    <w:rsid w:val="3CB43221"/>
    <w:rsid w:val="3CCF3BB7"/>
    <w:rsid w:val="3CE11114"/>
    <w:rsid w:val="3D0A1093"/>
    <w:rsid w:val="3D136199"/>
    <w:rsid w:val="3D186F6A"/>
    <w:rsid w:val="3D2E2FD3"/>
    <w:rsid w:val="3D496DB4"/>
    <w:rsid w:val="3D536596"/>
    <w:rsid w:val="3D6709BE"/>
    <w:rsid w:val="3D6C76C2"/>
    <w:rsid w:val="3D762284"/>
    <w:rsid w:val="3D78388C"/>
    <w:rsid w:val="3D826E7B"/>
    <w:rsid w:val="3D9A1050"/>
    <w:rsid w:val="3D9E45C6"/>
    <w:rsid w:val="3DAE2EBA"/>
    <w:rsid w:val="3DAF2B3B"/>
    <w:rsid w:val="3DCE0312"/>
    <w:rsid w:val="3DE770C2"/>
    <w:rsid w:val="3E017017"/>
    <w:rsid w:val="3E076F1C"/>
    <w:rsid w:val="3E155FE5"/>
    <w:rsid w:val="3E2E18E1"/>
    <w:rsid w:val="3E525E27"/>
    <w:rsid w:val="3E5F45E9"/>
    <w:rsid w:val="3E6976D5"/>
    <w:rsid w:val="3E746592"/>
    <w:rsid w:val="3E762588"/>
    <w:rsid w:val="3E8517F7"/>
    <w:rsid w:val="3E946AF8"/>
    <w:rsid w:val="3EA1722B"/>
    <w:rsid w:val="3EB260D6"/>
    <w:rsid w:val="3EBC7034"/>
    <w:rsid w:val="3ED71FF0"/>
    <w:rsid w:val="3EE46D5C"/>
    <w:rsid w:val="3EEA641F"/>
    <w:rsid w:val="3EEB6C17"/>
    <w:rsid w:val="3EFB5264"/>
    <w:rsid w:val="3F035D9A"/>
    <w:rsid w:val="3F1461F9"/>
    <w:rsid w:val="3F261A88"/>
    <w:rsid w:val="3F3F2FD1"/>
    <w:rsid w:val="3F43663F"/>
    <w:rsid w:val="3F494E6B"/>
    <w:rsid w:val="3F4F0FDF"/>
    <w:rsid w:val="3F553395"/>
    <w:rsid w:val="3F786788"/>
    <w:rsid w:val="3F854A01"/>
    <w:rsid w:val="3F8F3AD1"/>
    <w:rsid w:val="3FC75019"/>
    <w:rsid w:val="3FDE48BE"/>
    <w:rsid w:val="3FE91433"/>
    <w:rsid w:val="3FF027C2"/>
    <w:rsid w:val="3FF4061B"/>
    <w:rsid w:val="3FFA719D"/>
    <w:rsid w:val="3FFF1934"/>
    <w:rsid w:val="4004648D"/>
    <w:rsid w:val="40186F8C"/>
    <w:rsid w:val="40420B44"/>
    <w:rsid w:val="404A5243"/>
    <w:rsid w:val="406D3CE7"/>
    <w:rsid w:val="407526A4"/>
    <w:rsid w:val="407C4056"/>
    <w:rsid w:val="40845E49"/>
    <w:rsid w:val="40A86BF9"/>
    <w:rsid w:val="40BE4471"/>
    <w:rsid w:val="40E1035D"/>
    <w:rsid w:val="411005E8"/>
    <w:rsid w:val="41114F25"/>
    <w:rsid w:val="41447E22"/>
    <w:rsid w:val="41474E76"/>
    <w:rsid w:val="414A4154"/>
    <w:rsid w:val="41522A86"/>
    <w:rsid w:val="41593F6B"/>
    <w:rsid w:val="41685208"/>
    <w:rsid w:val="416F5968"/>
    <w:rsid w:val="417E5516"/>
    <w:rsid w:val="417E7288"/>
    <w:rsid w:val="418B7876"/>
    <w:rsid w:val="418F49EA"/>
    <w:rsid w:val="41B31CF9"/>
    <w:rsid w:val="41CF4659"/>
    <w:rsid w:val="41FB36A0"/>
    <w:rsid w:val="41FE1F8D"/>
    <w:rsid w:val="420F6296"/>
    <w:rsid w:val="42213106"/>
    <w:rsid w:val="422C3859"/>
    <w:rsid w:val="42426BD9"/>
    <w:rsid w:val="42545CAF"/>
    <w:rsid w:val="42813BA5"/>
    <w:rsid w:val="428A2783"/>
    <w:rsid w:val="429A3C84"/>
    <w:rsid w:val="42E443F3"/>
    <w:rsid w:val="42E67EAC"/>
    <w:rsid w:val="42F97BDF"/>
    <w:rsid w:val="43045C0F"/>
    <w:rsid w:val="4309762C"/>
    <w:rsid w:val="431272F0"/>
    <w:rsid w:val="43135B73"/>
    <w:rsid w:val="43326BAB"/>
    <w:rsid w:val="433E238F"/>
    <w:rsid w:val="434703D0"/>
    <w:rsid w:val="435968D0"/>
    <w:rsid w:val="435E7877"/>
    <w:rsid w:val="436117D4"/>
    <w:rsid w:val="43664B49"/>
    <w:rsid w:val="43782F65"/>
    <w:rsid w:val="43785535"/>
    <w:rsid w:val="43866DF2"/>
    <w:rsid w:val="43A169EA"/>
    <w:rsid w:val="43A66DE0"/>
    <w:rsid w:val="43AF6CB4"/>
    <w:rsid w:val="43AF7095"/>
    <w:rsid w:val="43B3590D"/>
    <w:rsid w:val="43B85AB3"/>
    <w:rsid w:val="43B95287"/>
    <w:rsid w:val="43CC70A2"/>
    <w:rsid w:val="43DE0B83"/>
    <w:rsid w:val="43E20674"/>
    <w:rsid w:val="44123DA4"/>
    <w:rsid w:val="44291151"/>
    <w:rsid w:val="442944F4"/>
    <w:rsid w:val="44427364"/>
    <w:rsid w:val="44654E01"/>
    <w:rsid w:val="44703ED1"/>
    <w:rsid w:val="44762A3D"/>
    <w:rsid w:val="44976870"/>
    <w:rsid w:val="44B729CE"/>
    <w:rsid w:val="44C85ABB"/>
    <w:rsid w:val="450067EC"/>
    <w:rsid w:val="45172264"/>
    <w:rsid w:val="45237005"/>
    <w:rsid w:val="454809AA"/>
    <w:rsid w:val="45763769"/>
    <w:rsid w:val="457C1EE7"/>
    <w:rsid w:val="45920AF2"/>
    <w:rsid w:val="459A7B85"/>
    <w:rsid w:val="459D0FAB"/>
    <w:rsid w:val="45AC19CC"/>
    <w:rsid w:val="45BC6CA2"/>
    <w:rsid w:val="45EF7078"/>
    <w:rsid w:val="4605689B"/>
    <w:rsid w:val="46137519"/>
    <w:rsid w:val="46252A99"/>
    <w:rsid w:val="46333408"/>
    <w:rsid w:val="46357180"/>
    <w:rsid w:val="46377F7D"/>
    <w:rsid w:val="46402205"/>
    <w:rsid w:val="465F6C1E"/>
    <w:rsid w:val="46611B8C"/>
    <w:rsid w:val="467C4DAF"/>
    <w:rsid w:val="46804AC7"/>
    <w:rsid w:val="46810B28"/>
    <w:rsid w:val="468236C6"/>
    <w:rsid w:val="4689125A"/>
    <w:rsid w:val="468947E0"/>
    <w:rsid w:val="46A61E2C"/>
    <w:rsid w:val="46AA796A"/>
    <w:rsid w:val="46B636FC"/>
    <w:rsid w:val="46C54B26"/>
    <w:rsid w:val="470628CB"/>
    <w:rsid w:val="472F3046"/>
    <w:rsid w:val="474F17A4"/>
    <w:rsid w:val="474F47BA"/>
    <w:rsid w:val="476051B9"/>
    <w:rsid w:val="4760647F"/>
    <w:rsid w:val="477B5F15"/>
    <w:rsid w:val="47A0687C"/>
    <w:rsid w:val="47A63C85"/>
    <w:rsid w:val="47CC1972"/>
    <w:rsid w:val="47D1092E"/>
    <w:rsid w:val="47F00E85"/>
    <w:rsid w:val="47F7235A"/>
    <w:rsid w:val="47F8086D"/>
    <w:rsid w:val="48060346"/>
    <w:rsid w:val="480F3A01"/>
    <w:rsid w:val="48195A2E"/>
    <w:rsid w:val="481A3A9E"/>
    <w:rsid w:val="484336AB"/>
    <w:rsid w:val="48434C98"/>
    <w:rsid w:val="4855001F"/>
    <w:rsid w:val="485D29BF"/>
    <w:rsid w:val="485D462D"/>
    <w:rsid w:val="48671147"/>
    <w:rsid w:val="487A3C1A"/>
    <w:rsid w:val="488B4A09"/>
    <w:rsid w:val="488E0BAD"/>
    <w:rsid w:val="48AA4D31"/>
    <w:rsid w:val="48BD34D6"/>
    <w:rsid w:val="48BD520B"/>
    <w:rsid w:val="48C928D2"/>
    <w:rsid w:val="48FD385A"/>
    <w:rsid w:val="4900334A"/>
    <w:rsid w:val="490948F4"/>
    <w:rsid w:val="4916602E"/>
    <w:rsid w:val="49176C25"/>
    <w:rsid w:val="497A75A0"/>
    <w:rsid w:val="49877D6A"/>
    <w:rsid w:val="4993288F"/>
    <w:rsid w:val="49B51BAE"/>
    <w:rsid w:val="49B56541"/>
    <w:rsid w:val="49BD2527"/>
    <w:rsid w:val="49CF169A"/>
    <w:rsid w:val="49D765D8"/>
    <w:rsid w:val="49F0391B"/>
    <w:rsid w:val="4A015C45"/>
    <w:rsid w:val="4A037596"/>
    <w:rsid w:val="4A0D37A6"/>
    <w:rsid w:val="4A1279BF"/>
    <w:rsid w:val="4A1C0B4B"/>
    <w:rsid w:val="4A1C51FA"/>
    <w:rsid w:val="4A1D136F"/>
    <w:rsid w:val="4A2C791A"/>
    <w:rsid w:val="4A407EA2"/>
    <w:rsid w:val="4A6107E8"/>
    <w:rsid w:val="4A6B1DF5"/>
    <w:rsid w:val="4A722025"/>
    <w:rsid w:val="4A975450"/>
    <w:rsid w:val="4A9E38E2"/>
    <w:rsid w:val="4AB16FF2"/>
    <w:rsid w:val="4ABC317C"/>
    <w:rsid w:val="4ACB00B3"/>
    <w:rsid w:val="4ACE24AA"/>
    <w:rsid w:val="4AD625B4"/>
    <w:rsid w:val="4AE53698"/>
    <w:rsid w:val="4AF929BB"/>
    <w:rsid w:val="4B004857"/>
    <w:rsid w:val="4B0B6702"/>
    <w:rsid w:val="4B11745C"/>
    <w:rsid w:val="4B3D416A"/>
    <w:rsid w:val="4B553E21"/>
    <w:rsid w:val="4B7324F9"/>
    <w:rsid w:val="4B75001F"/>
    <w:rsid w:val="4B9F4176"/>
    <w:rsid w:val="4BB2440B"/>
    <w:rsid w:val="4BBF181D"/>
    <w:rsid w:val="4BF74ED8"/>
    <w:rsid w:val="4C002553"/>
    <w:rsid w:val="4C1E2465"/>
    <w:rsid w:val="4C24253D"/>
    <w:rsid w:val="4C2B6208"/>
    <w:rsid w:val="4C405568"/>
    <w:rsid w:val="4C447F29"/>
    <w:rsid w:val="4C575977"/>
    <w:rsid w:val="4C6267F5"/>
    <w:rsid w:val="4C6912A9"/>
    <w:rsid w:val="4C771B75"/>
    <w:rsid w:val="4C8272C8"/>
    <w:rsid w:val="4C8C713F"/>
    <w:rsid w:val="4CAA1F4A"/>
    <w:rsid w:val="4CC56D84"/>
    <w:rsid w:val="4CD34FFD"/>
    <w:rsid w:val="4CFB09F8"/>
    <w:rsid w:val="4D134D83"/>
    <w:rsid w:val="4D4D27E3"/>
    <w:rsid w:val="4D6E6AAF"/>
    <w:rsid w:val="4D803138"/>
    <w:rsid w:val="4D8E6C34"/>
    <w:rsid w:val="4D9D385D"/>
    <w:rsid w:val="4D9E4411"/>
    <w:rsid w:val="4DB7491F"/>
    <w:rsid w:val="4DC66BE6"/>
    <w:rsid w:val="4DE67A00"/>
    <w:rsid w:val="4DFF1AA1"/>
    <w:rsid w:val="4E085533"/>
    <w:rsid w:val="4E094A4F"/>
    <w:rsid w:val="4E0976AB"/>
    <w:rsid w:val="4E1753BE"/>
    <w:rsid w:val="4E1F1702"/>
    <w:rsid w:val="4E687929"/>
    <w:rsid w:val="4E6C2270"/>
    <w:rsid w:val="4E7E368F"/>
    <w:rsid w:val="4E931338"/>
    <w:rsid w:val="4EB3343D"/>
    <w:rsid w:val="4EB34377"/>
    <w:rsid w:val="4EB42C0C"/>
    <w:rsid w:val="4EC67215"/>
    <w:rsid w:val="4ED4505D"/>
    <w:rsid w:val="4ED82D9F"/>
    <w:rsid w:val="4EF770CB"/>
    <w:rsid w:val="4F05790C"/>
    <w:rsid w:val="4F211E9E"/>
    <w:rsid w:val="4F4E12B3"/>
    <w:rsid w:val="4F6A776F"/>
    <w:rsid w:val="4F7D74A2"/>
    <w:rsid w:val="4F965C11"/>
    <w:rsid w:val="4FA15887"/>
    <w:rsid w:val="4FA34B34"/>
    <w:rsid w:val="4FB31116"/>
    <w:rsid w:val="4FBD6BF1"/>
    <w:rsid w:val="4FC357FD"/>
    <w:rsid w:val="4FC6067D"/>
    <w:rsid w:val="4FCE7A0A"/>
    <w:rsid w:val="50175D29"/>
    <w:rsid w:val="501F1A47"/>
    <w:rsid w:val="50416775"/>
    <w:rsid w:val="506660F1"/>
    <w:rsid w:val="50700F74"/>
    <w:rsid w:val="509B1A23"/>
    <w:rsid w:val="50A4278E"/>
    <w:rsid w:val="50BC224C"/>
    <w:rsid w:val="50C0143E"/>
    <w:rsid w:val="50EF3FAB"/>
    <w:rsid w:val="50F84542"/>
    <w:rsid w:val="51031C29"/>
    <w:rsid w:val="51143E36"/>
    <w:rsid w:val="512613FD"/>
    <w:rsid w:val="51265514"/>
    <w:rsid w:val="51296E20"/>
    <w:rsid w:val="512F3572"/>
    <w:rsid w:val="515B7CB7"/>
    <w:rsid w:val="515D57DD"/>
    <w:rsid w:val="515E5734"/>
    <w:rsid w:val="515F265D"/>
    <w:rsid w:val="519C4558"/>
    <w:rsid w:val="51AC0513"/>
    <w:rsid w:val="51C47ACD"/>
    <w:rsid w:val="51D75590"/>
    <w:rsid w:val="51E94C1F"/>
    <w:rsid w:val="51EB2DE9"/>
    <w:rsid w:val="520D3918"/>
    <w:rsid w:val="521F448D"/>
    <w:rsid w:val="522827C6"/>
    <w:rsid w:val="523E560F"/>
    <w:rsid w:val="523E6518"/>
    <w:rsid w:val="52426CE1"/>
    <w:rsid w:val="524E1B29"/>
    <w:rsid w:val="525D691E"/>
    <w:rsid w:val="52632C58"/>
    <w:rsid w:val="527C76A6"/>
    <w:rsid w:val="52804889"/>
    <w:rsid w:val="528172AA"/>
    <w:rsid w:val="528A2602"/>
    <w:rsid w:val="52B92F75"/>
    <w:rsid w:val="52C06024"/>
    <w:rsid w:val="52CF76CA"/>
    <w:rsid w:val="52D941BD"/>
    <w:rsid w:val="52DC5818"/>
    <w:rsid w:val="52DE1F32"/>
    <w:rsid w:val="52F1442F"/>
    <w:rsid w:val="53202487"/>
    <w:rsid w:val="532A16EF"/>
    <w:rsid w:val="53326F35"/>
    <w:rsid w:val="535719AF"/>
    <w:rsid w:val="53685DC3"/>
    <w:rsid w:val="53A25729"/>
    <w:rsid w:val="53AA2A01"/>
    <w:rsid w:val="53AE752F"/>
    <w:rsid w:val="53B8319F"/>
    <w:rsid w:val="53EB5E3E"/>
    <w:rsid w:val="54046D5C"/>
    <w:rsid w:val="540D5E1D"/>
    <w:rsid w:val="540E0E3F"/>
    <w:rsid w:val="541128AF"/>
    <w:rsid w:val="54177AB0"/>
    <w:rsid w:val="542919A7"/>
    <w:rsid w:val="542B642E"/>
    <w:rsid w:val="54387E3C"/>
    <w:rsid w:val="5451304A"/>
    <w:rsid w:val="54534F70"/>
    <w:rsid w:val="54605D47"/>
    <w:rsid w:val="546B4511"/>
    <w:rsid w:val="54BD7A0F"/>
    <w:rsid w:val="54C0055D"/>
    <w:rsid w:val="54CD2C7A"/>
    <w:rsid w:val="54F1040F"/>
    <w:rsid w:val="54F621D1"/>
    <w:rsid w:val="55004DFD"/>
    <w:rsid w:val="552D3354"/>
    <w:rsid w:val="55486DD7"/>
    <w:rsid w:val="554C495B"/>
    <w:rsid w:val="558D7E67"/>
    <w:rsid w:val="55B55408"/>
    <w:rsid w:val="55D27501"/>
    <w:rsid w:val="55DB4F23"/>
    <w:rsid w:val="56293EE0"/>
    <w:rsid w:val="56301712"/>
    <w:rsid w:val="563F54B2"/>
    <w:rsid w:val="566B274A"/>
    <w:rsid w:val="569A4DDE"/>
    <w:rsid w:val="569F6CEC"/>
    <w:rsid w:val="56BB686A"/>
    <w:rsid w:val="56C86B61"/>
    <w:rsid w:val="56D976B4"/>
    <w:rsid w:val="56E34278"/>
    <w:rsid w:val="56F72230"/>
    <w:rsid w:val="56F8518D"/>
    <w:rsid w:val="56FC15F5"/>
    <w:rsid w:val="57071EFB"/>
    <w:rsid w:val="572E3B80"/>
    <w:rsid w:val="574A4477"/>
    <w:rsid w:val="5755418B"/>
    <w:rsid w:val="575C1911"/>
    <w:rsid w:val="5779380E"/>
    <w:rsid w:val="579228CF"/>
    <w:rsid w:val="579D6934"/>
    <w:rsid w:val="57AD13F7"/>
    <w:rsid w:val="57B61657"/>
    <w:rsid w:val="57CD2643"/>
    <w:rsid w:val="57E24C8E"/>
    <w:rsid w:val="57E50508"/>
    <w:rsid w:val="5805272B"/>
    <w:rsid w:val="581367A6"/>
    <w:rsid w:val="581F6955"/>
    <w:rsid w:val="582D573F"/>
    <w:rsid w:val="5838665C"/>
    <w:rsid w:val="58483963"/>
    <w:rsid w:val="585B467E"/>
    <w:rsid w:val="58616610"/>
    <w:rsid w:val="58864000"/>
    <w:rsid w:val="588B22FF"/>
    <w:rsid w:val="589469D9"/>
    <w:rsid w:val="58A14BBC"/>
    <w:rsid w:val="58C15A31"/>
    <w:rsid w:val="58E43355"/>
    <w:rsid w:val="58E665AE"/>
    <w:rsid w:val="58EF353A"/>
    <w:rsid w:val="5914417D"/>
    <w:rsid w:val="591757EC"/>
    <w:rsid w:val="59205A6E"/>
    <w:rsid w:val="592369E6"/>
    <w:rsid w:val="59273FBA"/>
    <w:rsid w:val="59327287"/>
    <w:rsid w:val="595B0854"/>
    <w:rsid w:val="596945E9"/>
    <w:rsid w:val="598765A3"/>
    <w:rsid w:val="599035FD"/>
    <w:rsid w:val="59C90A06"/>
    <w:rsid w:val="59DB7BE7"/>
    <w:rsid w:val="59F72B17"/>
    <w:rsid w:val="5A0C5FF2"/>
    <w:rsid w:val="5A105AE3"/>
    <w:rsid w:val="5A1251E1"/>
    <w:rsid w:val="5A405C9C"/>
    <w:rsid w:val="5A4C3B3E"/>
    <w:rsid w:val="5A5532CF"/>
    <w:rsid w:val="5A584D94"/>
    <w:rsid w:val="5A634DFB"/>
    <w:rsid w:val="5A7312A0"/>
    <w:rsid w:val="5A7871E4"/>
    <w:rsid w:val="5A79271A"/>
    <w:rsid w:val="5ADE2869"/>
    <w:rsid w:val="5AEB08A7"/>
    <w:rsid w:val="5B152C85"/>
    <w:rsid w:val="5B5254FB"/>
    <w:rsid w:val="5B5B66DC"/>
    <w:rsid w:val="5B5C7615"/>
    <w:rsid w:val="5B6A162C"/>
    <w:rsid w:val="5B863B83"/>
    <w:rsid w:val="5B8D63AC"/>
    <w:rsid w:val="5B8E36FB"/>
    <w:rsid w:val="5BB40C92"/>
    <w:rsid w:val="5BB701E0"/>
    <w:rsid w:val="5BB93F58"/>
    <w:rsid w:val="5BC85F49"/>
    <w:rsid w:val="5BFB4366"/>
    <w:rsid w:val="5BFC6F6A"/>
    <w:rsid w:val="5C1B076F"/>
    <w:rsid w:val="5C2859B8"/>
    <w:rsid w:val="5C2F421A"/>
    <w:rsid w:val="5C307DD2"/>
    <w:rsid w:val="5C37394C"/>
    <w:rsid w:val="5C392920"/>
    <w:rsid w:val="5C567452"/>
    <w:rsid w:val="5C5934B7"/>
    <w:rsid w:val="5C5B0B6B"/>
    <w:rsid w:val="5C7B35C9"/>
    <w:rsid w:val="5C8005D2"/>
    <w:rsid w:val="5CA72002"/>
    <w:rsid w:val="5CB323C9"/>
    <w:rsid w:val="5CBF3AD3"/>
    <w:rsid w:val="5CCF02E3"/>
    <w:rsid w:val="5CF8460C"/>
    <w:rsid w:val="5D01492A"/>
    <w:rsid w:val="5D2252A3"/>
    <w:rsid w:val="5D2667F5"/>
    <w:rsid w:val="5D2C1646"/>
    <w:rsid w:val="5D310ED7"/>
    <w:rsid w:val="5D355860"/>
    <w:rsid w:val="5D36056C"/>
    <w:rsid w:val="5D406F09"/>
    <w:rsid w:val="5D495CFE"/>
    <w:rsid w:val="5D5C7C44"/>
    <w:rsid w:val="5D734E56"/>
    <w:rsid w:val="5D7D5E0E"/>
    <w:rsid w:val="5D9316A5"/>
    <w:rsid w:val="5D9C190F"/>
    <w:rsid w:val="5DB1138B"/>
    <w:rsid w:val="5DC75882"/>
    <w:rsid w:val="5DE4797B"/>
    <w:rsid w:val="5DE6427A"/>
    <w:rsid w:val="5E160087"/>
    <w:rsid w:val="5E1D51C7"/>
    <w:rsid w:val="5E3308A2"/>
    <w:rsid w:val="5E382E9C"/>
    <w:rsid w:val="5E3D2D5C"/>
    <w:rsid w:val="5E597218"/>
    <w:rsid w:val="5E607240"/>
    <w:rsid w:val="5E6301AB"/>
    <w:rsid w:val="5E7A20FA"/>
    <w:rsid w:val="5E972EC7"/>
    <w:rsid w:val="5ECB28DF"/>
    <w:rsid w:val="5EF60C1C"/>
    <w:rsid w:val="5F147E07"/>
    <w:rsid w:val="5F3F4774"/>
    <w:rsid w:val="5F4B136B"/>
    <w:rsid w:val="5F887568"/>
    <w:rsid w:val="5F944FE5"/>
    <w:rsid w:val="5F996242"/>
    <w:rsid w:val="5F9C34CF"/>
    <w:rsid w:val="5FB058C0"/>
    <w:rsid w:val="5FC52828"/>
    <w:rsid w:val="5FF07196"/>
    <w:rsid w:val="5FF12CB7"/>
    <w:rsid w:val="5FF9339D"/>
    <w:rsid w:val="60025ECE"/>
    <w:rsid w:val="6016160C"/>
    <w:rsid w:val="60257799"/>
    <w:rsid w:val="6026252E"/>
    <w:rsid w:val="604A0FC0"/>
    <w:rsid w:val="604B528F"/>
    <w:rsid w:val="605C29E7"/>
    <w:rsid w:val="606F2948"/>
    <w:rsid w:val="607E5A53"/>
    <w:rsid w:val="60805044"/>
    <w:rsid w:val="609829AE"/>
    <w:rsid w:val="6098413C"/>
    <w:rsid w:val="60A34518"/>
    <w:rsid w:val="60B533FC"/>
    <w:rsid w:val="60C211B9"/>
    <w:rsid w:val="60E71ECF"/>
    <w:rsid w:val="60F25C64"/>
    <w:rsid w:val="615C3B75"/>
    <w:rsid w:val="61634A96"/>
    <w:rsid w:val="61693EB7"/>
    <w:rsid w:val="616C4586"/>
    <w:rsid w:val="618574EF"/>
    <w:rsid w:val="61897F29"/>
    <w:rsid w:val="61922C2C"/>
    <w:rsid w:val="61B01959"/>
    <w:rsid w:val="61B076A7"/>
    <w:rsid w:val="61B431F8"/>
    <w:rsid w:val="61E15FB7"/>
    <w:rsid w:val="61E237E7"/>
    <w:rsid w:val="61F050AA"/>
    <w:rsid w:val="620121B5"/>
    <w:rsid w:val="62165F89"/>
    <w:rsid w:val="62181329"/>
    <w:rsid w:val="62361BC0"/>
    <w:rsid w:val="62600371"/>
    <w:rsid w:val="62647FA7"/>
    <w:rsid w:val="62662018"/>
    <w:rsid w:val="626970D8"/>
    <w:rsid w:val="626A3DD6"/>
    <w:rsid w:val="626B7A9E"/>
    <w:rsid w:val="626F711E"/>
    <w:rsid w:val="628350AF"/>
    <w:rsid w:val="62917095"/>
    <w:rsid w:val="629B75A4"/>
    <w:rsid w:val="62AE1CFD"/>
    <w:rsid w:val="62AF0244"/>
    <w:rsid w:val="62B30528"/>
    <w:rsid w:val="62B31701"/>
    <w:rsid w:val="63071A4D"/>
    <w:rsid w:val="630A5099"/>
    <w:rsid w:val="631303F2"/>
    <w:rsid w:val="632679EE"/>
    <w:rsid w:val="632A1297"/>
    <w:rsid w:val="633914DA"/>
    <w:rsid w:val="633E4EB1"/>
    <w:rsid w:val="63402869"/>
    <w:rsid w:val="634126CF"/>
    <w:rsid w:val="634B549F"/>
    <w:rsid w:val="6353510B"/>
    <w:rsid w:val="635F0273"/>
    <w:rsid w:val="635F7375"/>
    <w:rsid w:val="63770981"/>
    <w:rsid w:val="638448A7"/>
    <w:rsid w:val="63864661"/>
    <w:rsid w:val="63912B14"/>
    <w:rsid w:val="63EE6DBE"/>
    <w:rsid w:val="640905B4"/>
    <w:rsid w:val="64124205"/>
    <w:rsid w:val="641D655D"/>
    <w:rsid w:val="642721E0"/>
    <w:rsid w:val="644055E3"/>
    <w:rsid w:val="644545DB"/>
    <w:rsid w:val="645224A9"/>
    <w:rsid w:val="645B3DFE"/>
    <w:rsid w:val="64694AED"/>
    <w:rsid w:val="64C75A91"/>
    <w:rsid w:val="64CA4EC2"/>
    <w:rsid w:val="64D140C0"/>
    <w:rsid w:val="64DF4A2F"/>
    <w:rsid w:val="64EC2CA8"/>
    <w:rsid w:val="64F86EC8"/>
    <w:rsid w:val="64FF16AF"/>
    <w:rsid w:val="653B778C"/>
    <w:rsid w:val="654900FB"/>
    <w:rsid w:val="655A4D8E"/>
    <w:rsid w:val="655A669E"/>
    <w:rsid w:val="655B2CBD"/>
    <w:rsid w:val="655B398A"/>
    <w:rsid w:val="657617E2"/>
    <w:rsid w:val="6576251B"/>
    <w:rsid w:val="658E6328"/>
    <w:rsid w:val="65962C14"/>
    <w:rsid w:val="65A911DD"/>
    <w:rsid w:val="65AB66C0"/>
    <w:rsid w:val="65AC2438"/>
    <w:rsid w:val="65D025CA"/>
    <w:rsid w:val="65E25C76"/>
    <w:rsid w:val="65E41BD1"/>
    <w:rsid w:val="65E6594A"/>
    <w:rsid w:val="65F06063"/>
    <w:rsid w:val="65F8742B"/>
    <w:rsid w:val="661651B5"/>
    <w:rsid w:val="661F0E5C"/>
    <w:rsid w:val="662B3C7C"/>
    <w:rsid w:val="663366B5"/>
    <w:rsid w:val="666D7E19"/>
    <w:rsid w:val="667216FA"/>
    <w:rsid w:val="668C0465"/>
    <w:rsid w:val="669F1064"/>
    <w:rsid w:val="66A31A8D"/>
    <w:rsid w:val="66A56C29"/>
    <w:rsid w:val="66AA193F"/>
    <w:rsid w:val="66BB5028"/>
    <w:rsid w:val="66D37353"/>
    <w:rsid w:val="66E0683D"/>
    <w:rsid w:val="67102E27"/>
    <w:rsid w:val="672A2D9B"/>
    <w:rsid w:val="67622DF5"/>
    <w:rsid w:val="67780823"/>
    <w:rsid w:val="677E4A3D"/>
    <w:rsid w:val="67900263"/>
    <w:rsid w:val="679F2119"/>
    <w:rsid w:val="67A704F3"/>
    <w:rsid w:val="67B16DEC"/>
    <w:rsid w:val="67B3300F"/>
    <w:rsid w:val="67D5211A"/>
    <w:rsid w:val="67D7383E"/>
    <w:rsid w:val="67D94545"/>
    <w:rsid w:val="67DA57C2"/>
    <w:rsid w:val="67EB51FC"/>
    <w:rsid w:val="682732A7"/>
    <w:rsid w:val="68273612"/>
    <w:rsid w:val="682E13BE"/>
    <w:rsid w:val="682E5386"/>
    <w:rsid w:val="683E1A6D"/>
    <w:rsid w:val="684E3BDF"/>
    <w:rsid w:val="68524E43"/>
    <w:rsid w:val="68582421"/>
    <w:rsid w:val="685F2474"/>
    <w:rsid w:val="68682EB7"/>
    <w:rsid w:val="687E0F75"/>
    <w:rsid w:val="689D5018"/>
    <w:rsid w:val="68AC4F32"/>
    <w:rsid w:val="68B20A9E"/>
    <w:rsid w:val="68BA4E6C"/>
    <w:rsid w:val="68C901BB"/>
    <w:rsid w:val="68DC4DE2"/>
    <w:rsid w:val="68DE0B5A"/>
    <w:rsid w:val="68F4037D"/>
    <w:rsid w:val="69034A64"/>
    <w:rsid w:val="69206255"/>
    <w:rsid w:val="692A3D9F"/>
    <w:rsid w:val="692F7608"/>
    <w:rsid w:val="69456E2B"/>
    <w:rsid w:val="695D5F23"/>
    <w:rsid w:val="69613CB4"/>
    <w:rsid w:val="697238AA"/>
    <w:rsid w:val="69765746"/>
    <w:rsid w:val="69833542"/>
    <w:rsid w:val="69AE49D0"/>
    <w:rsid w:val="69CA13F4"/>
    <w:rsid w:val="69EA26B3"/>
    <w:rsid w:val="69EF33C0"/>
    <w:rsid w:val="69F05CE0"/>
    <w:rsid w:val="69F93837"/>
    <w:rsid w:val="6A0E546F"/>
    <w:rsid w:val="6A173B03"/>
    <w:rsid w:val="6A1D5C82"/>
    <w:rsid w:val="6A2053B8"/>
    <w:rsid w:val="6A2B4273"/>
    <w:rsid w:val="6A321963"/>
    <w:rsid w:val="6A415844"/>
    <w:rsid w:val="6A4470E3"/>
    <w:rsid w:val="6A474A4C"/>
    <w:rsid w:val="6A49280C"/>
    <w:rsid w:val="6A6E2276"/>
    <w:rsid w:val="6A8B4D12"/>
    <w:rsid w:val="6A90057A"/>
    <w:rsid w:val="6A955B90"/>
    <w:rsid w:val="6A971908"/>
    <w:rsid w:val="6AC567E1"/>
    <w:rsid w:val="6AF13F41"/>
    <w:rsid w:val="6B0654D4"/>
    <w:rsid w:val="6B1265FB"/>
    <w:rsid w:val="6B1D005F"/>
    <w:rsid w:val="6B407BD8"/>
    <w:rsid w:val="6B4355EC"/>
    <w:rsid w:val="6B5A3D3B"/>
    <w:rsid w:val="6B69318E"/>
    <w:rsid w:val="6B6C3996"/>
    <w:rsid w:val="6B7E2B1F"/>
    <w:rsid w:val="6BA001B4"/>
    <w:rsid w:val="6BAF58B8"/>
    <w:rsid w:val="6BBC3075"/>
    <w:rsid w:val="6BD04DDF"/>
    <w:rsid w:val="6BE27425"/>
    <w:rsid w:val="6BF828FC"/>
    <w:rsid w:val="6C272818"/>
    <w:rsid w:val="6C3842A8"/>
    <w:rsid w:val="6C3F4006"/>
    <w:rsid w:val="6C5755A2"/>
    <w:rsid w:val="6C5E0930"/>
    <w:rsid w:val="6C6525BA"/>
    <w:rsid w:val="6C77156A"/>
    <w:rsid w:val="6C7C0DB6"/>
    <w:rsid w:val="6C865790"/>
    <w:rsid w:val="6C88432A"/>
    <w:rsid w:val="6C9B3F20"/>
    <w:rsid w:val="6CB03771"/>
    <w:rsid w:val="6CB423CE"/>
    <w:rsid w:val="6CBF0CA2"/>
    <w:rsid w:val="6CCD1611"/>
    <w:rsid w:val="6CDB1F80"/>
    <w:rsid w:val="6CDC684D"/>
    <w:rsid w:val="6CDD26EE"/>
    <w:rsid w:val="6CFD335E"/>
    <w:rsid w:val="6D254FA9"/>
    <w:rsid w:val="6D29299C"/>
    <w:rsid w:val="6D3276C6"/>
    <w:rsid w:val="6D5342F6"/>
    <w:rsid w:val="6D592EA5"/>
    <w:rsid w:val="6D8112C5"/>
    <w:rsid w:val="6D8E05A2"/>
    <w:rsid w:val="6D936D70"/>
    <w:rsid w:val="6DA11374"/>
    <w:rsid w:val="6DC01176"/>
    <w:rsid w:val="6DD0796C"/>
    <w:rsid w:val="6DD15131"/>
    <w:rsid w:val="6DD3085F"/>
    <w:rsid w:val="6E044771"/>
    <w:rsid w:val="6E116602"/>
    <w:rsid w:val="6E1A1DB0"/>
    <w:rsid w:val="6E323894"/>
    <w:rsid w:val="6E402699"/>
    <w:rsid w:val="6E480D56"/>
    <w:rsid w:val="6E697118"/>
    <w:rsid w:val="6E8F5D83"/>
    <w:rsid w:val="6E95615F"/>
    <w:rsid w:val="6EBD1AB8"/>
    <w:rsid w:val="6ECF6B20"/>
    <w:rsid w:val="6ED87134"/>
    <w:rsid w:val="6ED9618E"/>
    <w:rsid w:val="6EDF0D92"/>
    <w:rsid w:val="6EE5485B"/>
    <w:rsid w:val="6F034CBF"/>
    <w:rsid w:val="6F1E7F02"/>
    <w:rsid w:val="6F4905AB"/>
    <w:rsid w:val="6F523AC2"/>
    <w:rsid w:val="6F6F69B0"/>
    <w:rsid w:val="6F7554FA"/>
    <w:rsid w:val="6F83245B"/>
    <w:rsid w:val="6F8A37EA"/>
    <w:rsid w:val="6FB81036"/>
    <w:rsid w:val="6FEA741D"/>
    <w:rsid w:val="6FFD3FBC"/>
    <w:rsid w:val="70001CFE"/>
    <w:rsid w:val="7000585A"/>
    <w:rsid w:val="70041D30"/>
    <w:rsid w:val="700C60B1"/>
    <w:rsid w:val="701D0900"/>
    <w:rsid w:val="701E7E11"/>
    <w:rsid w:val="702574A7"/>
    <w:rsid w:val="702F4391"/>
    <w:rsid w:val="704B653D"/>
    <w:rsid w:val="705102AC"/>
    <w:rsid w:val="7055204A"/>
    <w:rsid w:val="70553DF8"/>
    <w:rsid w:val="70555429"/>
    <w:rsid w:val="708244C1"/>
    <w:rsid w:val="70875F7B"/>
    <w:rsid w:val="709A7A5C"/>
    <w:rsid w:val="70A33082"/>
    <w:rsid w:val="70AE736D"/>
    <w:rsid w:val="70BD374B"/>
    <w:rsid w:val="70EC412D"/>
    <w:rsid w:val="71017ADB"/>
    <w:rsid w:val="711315BD"/>
    <w:rsid w:val="71551BD5"/>
    <w:rsid w:val="7156438B"/>
    <w:rsid w:val="715A2557"/>
    <w:rsid w:val="71676477"/>
    <w:rsid w:val="718A76FC"/>
    <w:rsid w:val="71AF446F"/>
    <w:rsid w:val="71C730E1"/>
    <w:rsid w:val="721455EC"/>
    <w:rsid w:val="7229553C"/>
    <w:rsid w:val="722D66AE"/>
    <w:rsid w:val="7251239D"/>
    <w:rsid w:val="7260196C"/>
    <w:rsid w:val="727268E0"/>
    <w:rsid w:val="727C634F"/>
    <w:rsid w:val="72A46F48"/>
    <w:rsid w:val="72A56887"/>
    <w:rsid w:val="72BA0B6E"/>
    <w:rsid w:val="72BE7080"/>
    <w:rsid w:val="72F41D22"/>
    <w:rsid w:val="73267CCD"/>
    <w:rsid w:val="734C3E6C"/>
    <w:rsid w:val="734E7A05"/>
    <w:rsid w:val="73591E51"/>
    <w:rsid w:val="735A6771"/>
    <w:rsid w:val="735F1AA0"/>
    <w:rsid w:val="73770529"/>
    <w:rsid w:val="737A6AC3"/>
    <w:rsid w:val="737D075C"/>
    <w:rsid w:val="739C3AEB"/>
    <w:rsid w:val="73AE6869"/>
    <w:rsid w:val="73B057E9"/>
    <w:rsid w:val="73C5064F"/>
    <w:rsid w:val="73FA256C"/>
    <w:rsid w:val="7409651C"/>
    <w:rsid w:val="74147B26"/>
    <w:rsid w:val="741A3431"/>
    <w:rsid w:val="74367A9C"/>
    <w:rsid w:val="74377EB7"/>
    <w:rsid w:val="7440479D"/>
    <w:rsid w:val="74455F31"/>
    <w:rsid w:val="745A5E80"/>
    <w:rsid w:val="745D14CD"/>
    <w:rsid w:val="74610332"/>
    <w:rsid w:val="747B1AED"/>
    <w:rsid w:val="7493355D"/>
    <w:rsid w:val="749A5433"/>
    <w:rsid w:val="749C0EB0"/>
    <w:rsid w:val="74A25132"/>
    <w:rsid w:val="74A964C0"/>
    <w:rsid w:val="74AA074C"/>
    <w:rsid w:val="74B80DF9"/>
    <w:rsid w:val="74C72A2B"/>
    <w:rsid w:val="750F2674"/>
    <w:rsid w:val="751A00A9"/>
    <w:rsid w:val="75390090"/>
    <w:rsid w:val="753A180E"/>
    <w:rsid w:val="753A3015"/>
    <w:rsid w:val="75472BD8"/>
    <w:rsid w:val="757345DF"/>
    <w:rsid w:val="75894140"/>
    <w:rsid w:val="759C1FD6"/>
    <w:rsid w:val="75A2437B"/>
    <w:rsid w:val="75C37324"/>
    <w:rsid w:val="75D80A35"/>
    <w:rsid w:val="75F55735"/>
    <w:rsid w:val="75FE6CDF"/>
    <w:rsid w:val="760065B4"/>
    <w:rsid w:val="760805F4"/>
    <w:rsid w:val="760A6649"/>
    <w:rsid w:val="762304F4"/>
    <w:rsid w:val="762914CB"/>
    <w:rsid w:val="763B583E"/>
    <w:rsid w:val="76415374"/>
    <w:rsid w:val="766670D0"/>
    <w:rsid w:val="76742AFE"/>
    <w:rsid w:val="769709D0"/>
    <w:rsid w:val="76A74C81"/>
    <w:rsid w:val="76AD7DBE"/>
    <w:rsid w:val="76CE7AD1"/>
    <w:rsid w:val="76D421B4"/>
    <w:rsid w:val="76F31E7A"/>
    <w:rsid w:val="76F83289"/>
    <w:rsid w:val="76F876DF"/>
    <w:rsid w:val="77007CDA"/>
    <w:rsid w:val="770837FD"/>
    <w:rsid w:val="77091498"/>
    <w:rsid w:val="770D18CD"/>
    <w:rsid w:val="77310D53"/>
    <w:rsid w:val="77333E74"/>
    <w:rsid w:val="774E334F"/>
    <w:rsid w:val="7766571B"/>
    <w:rsid w:val="778209AD"/>
    <w:rsid w:val="77B70EF4"/>
    <w:rsid w:val="77F831D7"/>
    <w:rsid w:val="77FF0221"/>
    <w:rsid w:val="77FF289B"/>
    <w:rsid w:val="78016613"/>
    <w:rsid w:val="780A5CCC"/>
    <w:rsid w:val="780B2B61"/>
    <w:rsid w:val="781841F2"/>
    <w:rsid w:val="78200134"/>
    <w:rsid w:val="782347DB"/>
    <w:rsid w:val="78526E6F"/>
    <w:rsid w:val="78593D48"/>
    <w:rsid w:val="786A240A"/>
    <w:rsid w:val="786B5465"/>
    <w:rsid w:val="78BD1399"/>
    <w:rsid w:val="78E51A91"/>
    <w:rsid w:val="78E926E0"/>
    <w:rsid w:val="78EA52F9"/>
    <w:rsid w:val="78F65A4C"/>
    <w:rsid w:val="79030457"/>
    <w:rsid w:val="792A6003"/>
    <w:rsid w:val="79492020"/>
    <w:rsid w:val="794B223C"/>
    <w:rsid w:val="79596BB6"/>
    <w:rsid w:val="79713215"/>
    <w:rsid w:val="798F4904"/>
    <w:rsid w:val="799D670D"/>
    <w:rsid w:val="79A7404E"/>
    <w:rsid w:val="79A84045"/>
    <w:rsid w:val="79C30024"/>
    <w:rsid w:val="79DA7E36"/>
    <w:rsid w:val="79F301DD"/>
    <w:rsid w:val="79FE105C"/>
    <w:rsid w:val="7A0E456C"/>
    <w:rsid w:val="7A1B7E60"/>
    <w:rsid w:val="7A2B1A67"/>
    <w:rsid w:val="7A3E3B4E"/>
    <w:rsid w:val="7A4A24F3"/>
    <w:rsid w:val="7A5173D7"/>
    <w:rsid w:val="7A560E98"/>
    <w:rsid w:val="7A637111"/>
    <w:rsid w:val="7A6730A5"/>
    <w:rsid w:val="7A777060"/>
    <w:rsid w:val="7A811C8D"/>
    <w:rsid w:val="7AB41BCC"/>
    <w:rsid w:val="7AB636E5"/>
    <w:rsid w:val="7ABA3AA8"/>
    <w:rsid w:val="7AD85BCB"/>
    <w:rsid w:val="7AE02768"/>
    <w:rsid w:val="7AE069B4"/>
    <w:rsid w:val="7AED10D1"/>
    <w:rsid w:val="7B0B4F4E"/>
    <w:rsid w:val="7B0C59FB"/>
    <w:rsid w:val="7B16616D"/>
    <w:rsid w:val="7B2E550E"/>
    <w:rsid w:val="7B400342"/>
    <w:rsid w:val="7B5E46A1"/>
    <w:rsid w:val="7B75495B"/>
    <w:rsid w:val="7B842755"/>
    <w:rsid w:val="7B915F00"/>
    <w:rsid w:val="7B98103C"/>
    <w:rsid w:val="7B9C0261"/>
    <w:rsid w:val="7BA14395"/>
    <w:rsid w:val="7BC31773"/>
    <w:rsid w:val="7BC35A89"/>
    <w:rsid w:val="7BCE579E"/>
    <w:rsid w:val="7BDA1B76"/>
    <w:rsid w:val="7BE82F8F"/>
    <w:rsid w:val="7BE966E3"/>
    <w:rsid w:val="7BEB41C7"/>
    <w:rsid w:val="7BED75DA"/>
    <w:rsid w:val="7C094BFB"/>
    <w:rsid w:val="7C0D5378"/>
    <w:rsid w:val="7C15268D"/>
    <w:rsid w:val="7C16611A"/>
    <w:rsid w:val="7C1D7794"/>
    <w:rsid w:val="7C266648"/>
    <w:rsid w:val="7C2B1EB0"/>
    <w:rsid w:val="7C305719"/>
    <w:rsid w:val="7C506DEC"/>
    <w:rsid w:val="7C777E09"/>
    <w:rsid w:val="7C927774"/>
    <w:rsid w:val="7C990EA1"/>
    <w:rsid w:val="7CA9293A"/>
    <w:rsid w:val="7CB77BE8"/>
    <w:rsid w:val="7CC05DA9"/>
    <w:rsid w:val="7CF57024"/>
    <w:rsid w:val="7CF6426C"/>
    <w:rsid w:val="7D21734E"/>
    <w:rsid w:val="7D284642"/>
    <w:rsid w:val="7D382AD7"/>
    <w:rsid w:val="7D3E0ACF"/>
    <w:rsid w:val="7D840CC5"/>
    <w:rsid w:val="7D8A0C03"/>
    <w:rsid w:val="7D8C6BBD"/>
    <w:rsid w:val="7D9931BD"/>
    <w:rsid w:val="7D9C2DC9"/>
    <w:rsid w:val="7DA65205"/>
    <w:rsid w:val="7DA93EBE"/>
    <w:rsid w:val="7DB14637"/>
    <w:rsid w:val="7E046E5D"/>
    <w:rsid w:val="7E077ACB"/>
    <w:rsid w:val="7E1E3A2E"/>
    <w:rsid w:val="7E3A23D1"/>
    <w:rsid w:val="7E555BD1"/>
    <w:rsid w:val="7E7324B4"/>
    <w:rsid w:val="7E747B3F"/>
    <w:rsid w:val="7E754607"/>
    <w:rsid w:val="7E7A2918"/>
    <w:rsid w:val="7E837D82"/>
    <w:rsid w:val="7EA131CA"/>
    <w:rsid w:val="7EB005FA"/>
    <w:rsid w:val="7EB81E63"/>
    <w:rsid w:val="7EBB39C0"/>
    <w:rsid w:val="7EC531D7"/>
    <w:rsid w:val="7EFE4293"/>
    <w:rsid w:val="7F060D40"/>
    <w:rsid w:val="7F091139"/>
    <w:rsid w:val="7F266502"/>
    <w:rsid w:val="7F2B4732"/>
    <w:rsid w:val="7F2B66C5"/>
    <w:rsid w:val="7F2D1E7F"/>
    <w:rsid w:val="7F2F7F0A"/>
    <w:rsid w:val="7F34107C"/>
    <w:rsid w:val="7F3670CE"/>
    <w:rsid w:val="7F3948E4"/>
    <w:rsid w:val="7F47412F"/>
    <w:rsid w:val="7F480FCB"/>
    <w:rsid w:val="7F5D4A77"/>
    <w:rsid w:val="7F932970"/>
    <w:rsid w:val="7FAB3A34"/>
    <w:rsid w:val="7FD85EAB"/>
    <w:rsid w:val="7FDD1714"/>
    <w:rsid w:val="7FF671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99"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link w:val="37"/>
    <w:autoRedefine/>
    <w:qFormat/>
    <w:uiPriority w:val="0"/>
    <w:pPr>
      <w:keepNext/>
      <w:keepLines/>
      <w:spacing w:before="340" w:after="330" w:line="578" w:lineRule="auto"/>
      <w:outlineLvl w:val="0"/>
    </w:pPr>
    <w:rPr>
      <w:b/>
      <w:bCs/>
      <w:kern w:val="44"/>
      <w:sz w:val="44"/>
      <w:szCs w:val="44"/>
    </w:rPr>
  </w:style>
  <w:style w:type="paragraph" w:styleId="3">
    <w:name w:val="heading 2"/>
    <w:basedOn w:val="1"/>
    <w:next w:val="1"/>
    <w:autoRedefine/>
    <w:unhideWhenUsed/>
    <w:qFormat/>
    <w:uiPriority w:val="0"/>
    <w:pPr>
      <w:keepNext/>
      <w:keepLines/>
      <w:outlineLvl w:val="1"/>
    </w:pPr>
    <w:rPr>
      <w:rFonts w:ascii="Arial" w:hAnsi="Arial"/>
      <w:b/>
    </w:rPr>
  </w:style>
  <w:style w:type="paragraph" w:styleId="4">
    <w:name w:val="heading 3"/>
    <w:basedOn w:val="1"/>
    <w:next w:val="1"/>
    <w:autoRedefine/>
    <w:unhideWhenUsed/>
    <w:qFormat/>
    <w:uiPriority w:val="9"/>
    <w:pPr>
      <w:keepNext/>
      <w:keepLines/>
      <w:spacing w:line="413" w:lineRule="auto"/>
      <w:ind w:firstLine="880" w:firstLineChars="200"/>
      <w:outlineLvl w:val="2"/>
    </w:pPr>
    <w:rPr>
      <w:rFonts w:eastAsia="黑体"/>
      <w:sz w:val="28"/>
    </w:rPr>
  </w:style>
  <w:style w:type="paragraph" w:styleId="5">
    <w:name w:val="heading 4"/>
    <w:basedOn w:val="1"/>
    <w:next w:val="1"/>
    <w:autoRedefine/>
    <w:semiHidden/>
    <w:unhideWhenUsed/>
    <w:qFormat/>
    <w:uiPriority w:val="0"/>
    <w:pPr>
      <w:spacing w:beforeAutospacing="1" w:afterAutospacing="1"/>
      <w:jc w:val="left"/>
      <w:outlineLvl w:val="3"/>
    </w:pPr>
    <w:rPr>
      <w:rFonts w:hint="eastAsia" w:ascii="宋体" w:hAnsi="宋体" w:eastAsia="宋体" w:cs="Times New Roman"/>
      <w:b/>
      <w:bCs/>
      <w:kern w:val="0"/>
      <w:sz w:val="24"/>
    </w:rPr>
  </w:style>
  <w:style w:type="character" w:default="1" w:styleId="17">
    <w:name w:val="Default Paragraph Font"/>
    <w:autoRedefine/>
    <w:semiHidden/>
    <w:unhideWhenUsed/>
    <w:qFormat/>
    <w:uiPriority w:val="1"/>
  </w:style>
  <w:style w:type="table" w:default="1" w:styleId="15">
    <w:name w:val="Normal Table"/>
    <w:autoRedefine/>
    <w:semiHidden/>
    <w:unhideWhenUsed/>
    <w:qFormat/>
    <w:uiPriority w:val="99"/>
    <w:tblPr>
      <w:tblCellMar>
        <w:top w:w="0" w:type="dxa"/>
        <w:left w:w="108" w:type="dxa"/>
        <w:bottom w:w="0" w:type="dxa"/>
        <w:right w:w="108" w:type="dxa"/>
      </w:tblCellMar>
    </w:tblPr>
  </w:style>
  <w:style w:type="paragraph" w:styleId="6">
    <w:name w:val="annotation text"/>
    <w:basedOn w:val="1"/>
    <w:link w:val="35"/>
    <w:autoRedefine/>
    <w:qFormat/>
    <w:uiPriority w:val="0"/>
    <w:pPr>
      <w:jc w:val="left"/>
    </w:pPr>
  </w:style>
  <w:style w:type="paragraph" w:styleId="7">
    <w:name w:val="Body Text Indent 2"/>
    <w:basedOn w:val="1"/>
    <w:link w:val="38"/>
    <w:autoRedefine/>
    <w:qFormat/>
    <w:uiPriority w:val="99"/>
    <w:pPr>
      <w:ind w:firstLine="560"/>
    </w:pPr>
    <w:rPr>
      <w:rFonts w:ascii="Times New Roman" w:hAnsi="Times New Roman" w:eastAsia="汉仪粗仿宋简"/>
      <w:sz w:val="28"/>
      <w:szCs w:val="28"/>
    </w:rPr>
  </w:style>
  <w:style w:type="paragraph" w:styleId="8">
    <w:name w:val="Balloon Text"/>
    <w:basedOn w:val="1"/>
    <w:link w:val="34"/>
    <w:autoRedefine/>
    <w:qFormat/>
    <w:uiPriority w:val="0"/>
    <w:rPr>
      <w:sz w:val="18"/>
      <w:szCs w:val="18"/>
    </w:rPr>
  </w:style>
  <w:style w:type="paragraph" w:styleId="9">
    <w:name w:val="footer"/>
    <w:basedOn w:val="1"/>
    <w:link w:val="23"/>
    <w:autoRedefine/>
    <w:qFormat/>
    <w:uiPriority w:val="0"/>
    <w:pPr>
      <w:tabs>
        <w:tab w:val="center" w:pos="4153"/>
        <w:tab w:val="right" w:pos="8306"/>
      </w:tabs>
      <w:snapToGrid w:val="0"/>
      <w:jc w:val="left"/>
    </w:pPr>
    <w:rPr>
      <w:sz w:val="18"/>
      <w:szCs w:val="18"/>
    </w:rPr>
  </w:style>
  <w:style w:type="paragraph" w:styleId="10">
    <w:name w:val="header"/>
    <w:basedOn w:val="1"/>
    <w:link w:val="22"/>
    <w:autoRedefine/>
    <w:qFormat/>
    <w:uiPriority w:val="0"/>
    <w:pPr>
      <w:pBdr>
        <w:bottom w:val="single" w:color="auto" w:sz="6" w:space="1"/>
      </w:pBdr>
      <w:tabs>
        <w:tab w:val="center" w:pos="4153"/>
        <w:tab w:val="right" w:pos="8306"/>
      </w:tabs>
      <w:snapToGrid w:val="0"/>
      <w:jc w:val="center"/>
    </w:pPr>
    <w:rPr>
      <w:sz w:val="18"/>
      <w:szCs w:val="18"/>
    </w:rPr>
  </w:style>
  <w:style w:type="paragraph" w:styleId="11">
    <w:name w:val="toc 1"/>
    <w:basedOn w:val="1"/>
    <w:next w:val="1"/>
    <w:autoRedefine/>
    <w:qFormat/>
    <w:uiPriority w:val="0"/>
  </w:style>
  <w:style w:type="paragraph" w:styleId="12">
    <w:name w:val="toc 2"/>
    <w:basedOn w:val="1"/>
    <w:next w:val="1"/>
    <w:autoRedefine/>
    <w:qFormat/>
    <w:uiPriority w:val="0"/>
    <w:pPr>
      <w:ind w:left="420" w:leftChars="200"/>
    </w:pPr>
  </w:style>
  <w:style w:type="paragraph" w:styleId="13">
    <w:name w:val="Normal (Web)"/>
    <w:basedOn w:val="1"/>
    <w:autoRedefine/>
    <w:qFormat/>
    <w:uiPriority w:val="0"/>
    <w:rPr>
      <w:sz w:val="24"/>
    </w:rPr>
  </w:style>
  <w:style w:type="paragraph" w:styleId="14">
    <w:name w:val="annotation subject"/>
    <w:basedOn w:val="6"/>
    <w:next w:val="6"/>
    <w:link w:val="36"/>
    <w:autoRedefine/>
    <w:qFormat/>
    <w:uiPriority w:val="0"/>
    <w:rPr>
      <w:b/>
      <w:bCs/>
    </w:rPr>
  </w:style>
  <w:style w:type="table" w:styleId="16">
    <w:name w:val="Table Grid"/>
    <w:basedOn w:val="15"/>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Strong"/>
    <w:basedOn w:val="17"/>
    <w:autoRedefine/>
    <w:qFormat/>
    <w:uiPriority w:val="0"/>
    <w:rPr>
      <w:b/>
    </w:rPr>
  </w:style>
  <w:style w:type="character" w:styleId="19">
    <w:name w:val="Hyperlink"/>
    <w:basedOn w:val="17"/>
    <w:autoRedefine/>
    <w:qFormat/>
    <w:uiPriority w:val="0"/>
    <w:rPr>
      <w:color w:val="0000FF"/>
      <w:u w:val="single"/>
    </w:rPr>
  </w:style>
  <w:style w:type="character" w:styleId="20">
    <w:name w:val="annotation reference"/>
    <w:basedOn w:val="17"/>
    <w:autoRedefine/>
    <w:qFormat/>
    <w:uiPriority w:val="0"/>
    <w:rPr>
      <w:sz w:val="21"/>
      <w:szCs w:val="21"/>
    </w:rPr>
  </w:style>
  <w:style w:type="paragraph" w:customStyle="1" w:styleId="21">
    <w:name w:val="表格2"/>
    <w:link w:val="24"/>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22">
    <w:name w:val="页眉 字符"/>
    <w:basedOn w:val="17"/>
    <w:link w:val="10"/>
    <w:autoRedefine/>
    <w:qFormat/>
    <w:uiPriority w:val="0"/>
    <w:rPr>
      <w:kern w:val="2"/>
      <w:sz w:val="18"/>
      <w:szCs w:val="18"/>
    </w:rPr>
  </w:style>
  <w:style w:type="character" w:customStyle="1" w:styleId="23">
    <w:name w:val="页脚 字符"/>
    <w:basedOn w:val="17"/>
    <w:link w:val="9"/>
    <w:autoRedefine/>
    <w:qFormat/>
    <w:uiPriority w:val="0"/>
    <w:rPr>
      <w:kern w:val="2"/>
      <w:sz w:val="18"/>
      <w:szCs w:val="18"/>
    </w:rPr>
  </w:style>
  <w:style w:type="character" w:customStyle="1" w:styleId="24">
    <w:name w:val="表格2 Char"/>
    <w:link w:val="21"/>
    <w:autoRedefine/>
    <w:qFormat/>
    <w:uiPriority w:val="0"/>
    <w:rPr>
      <w:rFonts w:ascii="Calibri" w:hAnsi="Calibri" w:eastAsia="宋体" w:cs="Times New Roman"/>
      <w:kern w:val="2"/>
      <w:sz w:val="21"/>
      <w:szCs w:val="22"/>
    </w:rPr>
  </w:style>
  <w:style w:type="paragraph" w:styleId="25">
    <w:name w:val="List Paragraph"/>
    <w:basedOn w:val="1"/>
    <w:autoRedefine/>
    <w:qFormat/>
    <w:uiPriority w:val="99"/>
    <w:pPr>
      <w:ind w:firstLine="420" w:firstLineChars="200"/>
    </w:pPr>
  </w:style>
  <w:style w:type="paragraph" w:customStyle="1" w:styleId="26">
    <w:name w:val="表格中的样式"/>
    <w:basedOn w:val="1"/>
    <w:link w:val="27"/>
    <w:autoRedefine/>
    <w:qFormat/>
    <w:uiPriority w:val="0"/>
    <w:pPr>
      <w:jc w:val="left"/>
    </w:pPr>
    <w:rPr>
      <w:rFonts w:ascii="宋体" w:hAnsi="宋体"/>
      <w:szCs w:val="21"/>
    </w:rPr>
  </w:style>
  <w:style w:type="character" w:customStyle="1" w:styleId="27">
    <w:name w:val="表格中的样式 Char"/>
    <w:basedOn w:val="17"/>
    <w:link w:val="26"/>
    <w:autoRedefine/>
    <w:qFormat/>
    <w:uiPriority w:val="0"/>
    <w:rPr>
      <w:rFonts w:ascii="宋体" w:hAnsi="宋体"/>
      <w:kern w:val="2"/>
      <w:sz w:val="21"/>
      <w:szCs w:val="21"/>
    </w:rPr>
  </w:style>
  <w:style w:type="character" w:customStyle="1" w:styleId="28">
    <w:name w:val="表格样式 Char"/>
    <w:link w:val="29"/>
    <w:autoRedefine/>
    <w:qFormat/>
    <w:uiPriority w:val="0"/>
    <w:rPr>
      <w:rFonts w:ascii="宋体" w:hAnsi="宋体" w:eastAsia="宋体"/>
      <w:szCs w:val="21"/>
      <w:lang w:eastAsia="en-US" w:bidi="en-US"/>
    </w:rPr>
  </w:style>
  <w:style w:type="paragraph" w:customStyle="1" w:styleId="29">
    <w:name w:val="表格样式"/>
    <w:basedOn w:val="1"/>
    <w:link w:val="28"/>
    <w:autoRedefine/>
    <w:qFormat/>
    <w:uiPriority w:val="0"/>
    <w:pPr>
      <w:widowControl/>
      <w:snapToGrid w:val="0"/>
      <w:spacing w:line="276" w:lineRule="auto"/>
    </w:pPr>
    <w:rPr>
      <w:rFonts w:ascii="宋体" w:hAnsi="宋体" w:eastAsia="宋体"/>
      <w:kern w:val="0"/>
      <w:sz w:val="20"/>
      <w:szCs w:val="21"/>
      <w:lang w:eastAsia="en-US" w:bidi="en-US"/>
    </w:rPr>
  </w:style>
  <w:style w:type="paragraph" w:customStyle="1" w:styleId="30">
    <w:name w:val="标题二2（楷体标题）"/>
    <w:basedOn w:val="1"/>
    <w:autoRedefine/>
    <w:qFormat/>
    <w:uiPriority w:val="0"/>
    <w:pPr>
      <w:spacing w:line="560" w:lineRule="exact"/>
      <w:jc w:val="center"/>
    </w:pPr>
    <w:rPr>
      <w:rFonts w:ascii="宋体" w:hAnsi="宋体" w:cs="宋体"/>
      <w:sz w:val="28"/>
      <w:szCs w:val="28"/>
    </w:rPr>
  </w:style>
  <w:style w:type="character" w:customStyle="1" w:styleId="31">
    <w:name w:val="fontstyle01"/>
    <w:autoRedefine/>
    <w:qFormat/>
    <w:uiPriority w:val="0"/>
    <w:rPr>
      <w:rFonts w:hint="default" w:ascii="FZSSK--GBK1-0" w:hAnsi="FZSSK--GBK1-0"/>
      <w:color w:val="000000"/>
      <w:sz w:val="24"/>
      <w:szCs w:val="24"/>
    </w:rPr>
  </w:style>
  <w:style w:type="character" w:customStyle="1" w:styleId="32">
    <w:name w:val="font31"/>
    <w:basedOn w:val="17"/>
    <w:autoRedefine/>
    <w:qFormat/>
    <w:uiPriority w:val="0"/>
    <w:rPr>
      <w:rFonts w:hint="default" w:ascii="仿宋_GB2312" w:eastAsia="仿宋_GB2312" w:cs="仿宋_GB2312"/>
      <w:color w:val="000000"/>
      <w:sz w:val="21"/>
      <w:szCs w:val="21"/>
      <w:u w:val="none"/>
    </w:rPr>
  </w:style>
  <w:style w:type="character" w:customStyle="1" w:styleId="33">
    <w:name w:val="font81"/>
    <w:basedOn w:val="17"/>
    <w:autoRedefine/>
    <w:qFormat/>
    <w:uiPriority w:val="0"/>
    <w:rPr>
      <w:rFonts w:hint="default" w:ascii="仿宋_GB2312" w:eastAsia="仿宋_GB2312" w:cs="仿宋_GB2312"/>
      <w:color w:val="000000"/>
      <w:sz w:val="20"/>
      <w:szCs w:val="20"/>
      <w:u w:val="none"/>
    </w:rPr>
  </w:style>
  <w:style w:type="character" w:customStyle="1" w:styleId="34">
    <w:name w:val="批注框文本 字符"/>
    <w:basedOn w:val="17"/>
    <w:link w:val="8"/>
    <w:autoRedefine/>
    <w:qFormat/>
    <w:uiPriority w:val="0"/>
    <w:rPr>
      <w:rFonts w:asciiTheme="minorHAnsi" w:hAnsiTheme="minorHAnsi" w:eastAsiaTheme="minorEastAsia" w:cstheme="minorBidi"/>
      <w:kern w:val="2"/>
      <w:sz w:val="18"/>
      <w:szCs w:val="18"/>
    </w:rPr>
  </w:style>
  <w:style w:type="character" w:customStyle="1" w:styleId="35">
    <w:name w:val="批注文字 字符"/>
    <w:basedOn w:val="17"/>
    <w:link w:val="6"/>
    <w:autoRedefine/>
    <w:qFormat/>
    <w:uiPriority w:val="0"/>
    <w:rPr>
      <w:rFonts w:asciiTheme="minorHAnsi" w:hAnsiTheme="minorHAnsi" w:eastAsiaTheme="minorEastAsia" w:cstheme="minorBidi"/>
      <w:kern w:val="2"/>
      <w:sz w:val="21"/>
      <w:szCs w:val="24"/>
    </w:rPr>
  </w:style>
  <w:style w:type="character" w:customStyle="1" w:styleId="36">
    <w:name w:val="批注主题 字符"/>
    <w:basedOn w:val="35"/>
    <w:link w:val="14"/>
    <w:autoRedefine/>
    <w:qFormat/>
    <w:uiPriority w:val="0"/>
    <w:rPr>
      <w:rFonts w:asciiTheme="minorHAnsi" w:hAnsiTheme="minorHAnsi" w:eastAsiaTheme="minorEastAsia" w:cstheme="minorBidi"/>
      <w:b/>
      <w:bCs/>
      <w:kern w:val="2"/>
      <w:sz w:val="21"/>
      <w:szCs w:val="24"/>
    </w:rPr>
  </w:style>
  <w:style w:type="character" w:customStyle="1" w:styleId="37">
    <w:name w:val="标题 1 字符"/>
    <w:basedOn w:val="17"/>
    <w:link w:val="2"/>
    <w:autoRedefine/>
    <w:qFormat/>
    <w:uiPriority w:val="0"/>
    <w:rPr>
      <w:rFonts w:asciiTheme="minorHAnsi" w:hAnsiTheme="minorHAnsi" w:eastAsiaTheme="minorEastAsia" w:cstheme="minorBidi"/>
      <w:b/>
      <w:bCs/>
      <w:kern w:val="44"/>
      <w:sz w:val="44"/>
      <w:szCs w:val="44"/>
    </w:rPr>
  </w:style>
  <w:style w:type="character" w:customStyle="1" w:styleId="38">
    <w:name w:val="正文文本缩进 2 字符"/>
    <w:basedOn w:val="17"/>
    <w:link w:val="7"/>
    <w:autoRedefine/>
    <w:qFormat/>
    <w:uiPriority w:val="0"/>
    <w:rPr>
      <w:kern w:val="2"/>
      <w:sz w:val="21"/>
      <w:szCs w:val="24"/>
    </w:rPr>
  </w:style>
  <w:style w:type="paragraph" w:customStyle="1" w:styleId="39">
    <w:name w:val="表格"/>
    <w:basedOn w:val="1"/>
    <w:autoRedefine/>
    <w:qFormat/>
    <w:uiPriority w:val="0"/>
  </w:style>
  <w:style w:type="paragraph" w:customStyle="1" w:styleId="40">
    <w:name w:val="表头图号"/>
    <w:basedOn w:val="1"/>
    <w:next w:val="1"/>
    <w:autoRedefine/>
    <w:qFormat/>
    <w:uiPriority w:val="0"/>
    <w:pPr>
      <w:ind w:firstLine="422"/>
      <w:jc w:val="center"/>
    </w:pPr>
    <w:rPr>
      <w:rFonts w:asciiTheme="minorEastAsia" w:hAnsiTheme="minorEastAsia"/>
      <w:b/>
      <w:sz w:val="28"/>
      <w:szCs w:val="28"/>
    </w:rPr>
  </w:style>
  <w:style w:type="character" w:customStyle="1" w:styleId="41">
    <w:name w:val="font21"/>
    <w:basedOn w:val="17"/>
    <w:autoRedefine/>
    <w:qFormat/>
    <w:uiPriority w:val="0"/>
    <w:rPr>
      <w:rFonts w:hint="eastAsia" w:ascii="仿宋_GB2312" w:eastAsia="仿宋_GB2312" w:cs="仿宋_GB2312"/>
      <w:b/>
      <w:bCs/>
      <w:color w:val="000000"/>
      <w:sz w:val="21"/>
      <w:szCs w:val="21"/>
      <w:u w:val="none"/>
    </w:rPr>
  </w:style>
  <w:style w:type="character" w:customStyle="1" w:styleId="42">
    <w:name w:val="font41"/>
    <w:basedOn w:val="17"/>
    <w:autoRedefine/>
    <w:qFormat/>
    <w:uiPriority w:val="0"/>
    <w:rPr>
      <w:rFonts w:hint="eastAsia" w:ascii="仿宋_GB2312" w:eastAsia="仿宋_GB2312" w:cs="仿宋_GB2312"/>
      <w:color w:val="000000"/>
      <w:sz w:val="21"/>
      <w:szCs w:val="21"/>
      <w:u w:val="none"/>
    </w:rPr>
  </w:style>
  <w:style w:type="character" w:customStyle="1" w:styleId="43">
    <w:name w:val="font71"/>
    <w:basedOn w:val="17"/>
    <w:autoRedefine/>
    <w:qFormat/>
    <w:uiPriority w:val="0"/>
    <w:rPr>
      <w:rFonts w:hint="eastAsia" w:ascii="仿宋_GB2312" w:eastAsia="仿宋_GB2312" w:cs="仿宋_GB2312"/>
      <w:color w:val="000000"/>
      <w:sz w:val="20"/>
      <w:szCs w:val="20"/>
      <w:u w:val="none"/>
    </w:rPr>
  </w:style>
  <w:style w:type="character" w:customStyle="1" w:styleId="44">
    <w:name w:val="font51"/>
    <w:basedOn w:val="17"/>
    <w:autoRedefine/>
    <w:qFormat/>
    <w:uiPriority w:val="0"/>
    <w:rPr>
      <w:rFonts w:hint="eastAsia" w:ascii="仿宋_GB2312" w:eastAsia="仿宋_GB2312" w:cs="仿宋_GB2312"/>
      <w:color w:val="000000"/>
      <w:sz w:val="21"/>
      <w:szCs w:val="21"/>
      <w:u w:val="none"/>
    </w:rPr>
  </w:style>
  <w:style w:type="character" w:customStyle="1" w:styleId="45">
    <w:name w:val="font11"/>
    <w:basedOn w:val="17"/>
    <w:autoRedefine/>
    <w:qFormat/>
    <w:uiPriority w:val="0"/>
    <w:rPr>
      <w:rFonts w:hint="eastAsia" w:ascii="仿宋_GB2312" w:eastAsia="仿宋_GB2312" w:cs="仿宋_GB2312"/>
      <w:color w:val="000000"/>
      <w:sz w:val="21"/>
      <w:szCs w:val="21"/>
      <w:u w:val="none"/>
    </w:rPr>
  </w:style>
  <w:style w:type="paragraph" w:customStyle="1" w:styleId="46">
    <w:name w:val="表格标题"/>
    <w:basedOn w:val="1"/>
    <w:autoRedefine/>
    <w:qFormat/>
    <w:uiPriority w:val="0"/>
    <w:pPr>
      <w:ind w:hanging="1"/>
      <w:jc w:val="center"/>
      <w:textAlignment w:val="center"/>
    </w:pPr>
    <w:rPr>
      <w:rFonts w:hint="eastAsia" w:ascii="仿宋" w:hAnsi="仿宋" w:cs="Times New Roman"/>
      <w:b/>
      <w:szCs w:val="20"/>
    </w:rPr>
  </w:style>
  <w:style w:type="paragraph" w:customStyle="1" w:styleId="47">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2.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A0FFF1E-DD7A-4630-992F-AD966560901A}">
  <ds:schemaRefs/>
</ds:datastoreItem>
</file>

<file path=docProps/app.xml><?xml version="1.0" encoding="utf-8"?>
<Properties xmlns="http://schemas.openxmlformats.org/officeDocument/2006/extended-properties" xmlns:vt="http://schemas.openxmlformats.org/officeDocument/2006/docPropsVTypes">
  <Template>Normal.dotm</Template>
  <Pages>57</Pages>
  <Words>344</Words>
  <Characters>355</Characters>
  <Lines>5552</Lines>
  <Paragraphs>5254</Paragraphs>
  <TotalTime>0</TotalTime>
  <ScaleCrop>false</ScaleCrop>
  <LinksUpToDate>false</LinksUpToDate>
  <CharactersWithSpaces>447</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2024-04-15T00:42:00Z</dcterms:created>
  <dc:creator>Ace_DS</dc:creator>
  <cp:lastModifiedBy>李松</cp:lastModifiedBy>
  <cp:lastPrinted>2025-06-12T23:02:00Z</cp:lastPrinted>
  <dcterms:modified xsi:type="dcterms:W3CDTF">2025-09-05T03:23:07Z</dcterms:modified>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E9B91F9995554501BB2C5AB20D6D6AAE_13</vt:lpwstr>
  </property>
  <property fmtid="{D5CDD505-2E9C-101B-9397-08002B2CF9AE}" pid="4" name="KSOTemplateDocerSaveRecord">
    <vt:lpwstr>eyJoZGlkIjoiN2EyYzZiYWJlOTNjYWE2OWU2NjgxNGY0NDEwNzIxZjciLCJ1c2VySWQiOiIyNjczNjA5NjQifQ==</vt:lpwstr>
  </property>
</Properties>
</file>